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A6635" w:rsidRPr="0054389C" w:rsidRDefault="008A6635" w:rsidP="008A6635">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Malgun Gothic" w:hAnsi="Arial" w:cs="Arial"/>
          <w:b/>
          <w:sz w:val="24"/>
          <w:lang w:val="en-GB"/>
        </w:rPr>
      </w:pPr>
      <w:r w:rsidRPr="00B40311">
        <w:rPr>
          <w:rFonts w:ascii="Arial" w:eastAsia="宋体" w:hAnsi="Arial" w:cs="Arial"/>
          <w:b/>
          <w:sz w:val="24"/>
          <w:lang w:val="en-GB" w:eastAsia="ko-KR"/>
        </w:rPr>
        <w:t>3GPP TSG-</w:t>
      </w:r>
      <w:r w:rsidRPr="00B40311">
        <w:rPr>
          <w:rFonts w:ascii="Arial" w:eastAsia="宋体" w:hAnsi="Arial" w:cs="Arial" w:hint="eastAsia"/>
          <w:b/>
          <w:sz w:val="24"/>
          <w:lang w:val="en-GB" w:eastAsia="ko-KR"/>
        </w:rPr>
        <w:t xml:space="preserve">RAN4 </w:t>
      </w:r>
      <w:r w:rsidRPr="00B40311">
        <w:rPr>
          <w:rFonts w:ascii="Arial" w:eastAsia="宋体" w:hAnsi="Arial" w:cs="Arial"/>
          <w:b/>
          <w:sz w:val="24"/>
          <w:lang w:val="en-GB" w:eastAsia="ko-KR"/>
        </w:rPr>
        <w:t>Meeting</w:t>
      </w:r>
      <w:r w:rsidRPr="00B40311">
        <w:rPr>
          <w:rFonts w:ascii="Arial" w:eastAsia="宋体" w:hAnsi="Arial" w:cs="Arial" w:hint="eastAsia"/>
          <w:b/>
          <w:sz w:val="24"/>
          <w:lang w:val="en-GB" w:eastAsia="ko-KR"/>
        </w:rPr>
        <w:t xml:space="preserve"> #</w:t>
      </w:r>
      <w:r w:rsidR="00C032FD">
        <w:rPr>
          <w:rFonts w:ascii="Arial" w:eastAsia="宋体" w:hAnsi="Arial" w:cs="Arial"/>
          <w:b/>
          <w:sz w:val="24"/>
          <w:lang w:val="en-GB" w:eastAsia="ko-KR"/>
        </w:rPr>
        <w:t>10</w:t>
      </w:r>
      <w:r w:rsidR="00043F9E">
        <w:rPr>
          <w:rFonts w:ascii="Arial" w:eastAsia="宋体" w:hAnsi="Arial" w:cs="Arial"/>
          <w:b/>
          <w:sz w:val="24"/>
          <w:lang w:val="en-GB" w:eastAsia="ko-KR"/>
        </w:rPr>
        <w:t>8</w:t>
      </w:r>
      <w:r w:rsidR="00466A15">
        <w:rPr>
          <w:rFonts w:ascii="Arial" w:eastAsia="宋体" w:hAnsi="Arial" w:cs="Arial" w:hint="eastAsia"/>
          <w:b/>
          <w:sz w:val="24"/>
          <w:lang w:val="en-GB"/>
        </w:rPr>
        <w:t>bis</w:t>
      </w:r>
      <w:r w:rsidR="00E16A41">
        <w:rPr>
          <w:rFonts w:ascii="Arial" w:eastAsia="宋体" w:hAnsi="Arial" w:cs="Arial"/>
          <w:b/>
          <w:sz w:val="24"/>
          <w:lang w:val="en-GB" w:eastAsia="ko-KR"/>
        </w:rPr>
        <w:tab/>
      </w:r>
      <w:r w:rsidR="00C463BD">
        <w:rPr>
          <w:rFonts w:ascii="Arial" w:eastAsia="宋体" w:hAnsi="Arial" w:cs="Arial"/>
          <w:b/>
          <w:sz w:val="24"/>
          <w:lang w:val="en-GB" w:eastAsia="ko-KR"/>
        </w:rPr>
        <w:tab/>
      </w:r>
      <w:r w:rsidR="00516C00" w:rsidRPr="00516C00">
        <w:rPr>
          <w:rFonts w:ascii="Arial" w:eastAsia="宋体" w:hAnsi="Arial" w:cs="Arial"/>
          <w:b/>
          <w:sz w:val="24"/>
          <w:lang w:val="en-GB" w:eastAsia="ko-KR"/>
        </w:rPr>
        <w:t>R4-2</w:t>
      </w:r>
      <w:r w:rsidR="007926DC">
        <w:rPr>
          <w:rFonts w:ascii="Arial" w:eastAsia="宋体" w:hAnsi="Arial" w:cs="Arial"/>
          <w:b/>
          <w:sz w:val="24"/>
          <w:lang w:val="en-GB" w:eastAsia="ko-KR"/>
        </w:rPr>
        <w:t>3</w:t>
      </w:r>
      <w:r w:rsidR="008F07AF">
        <w:rPr>
          <w:rFonts w:ascii="Arial" w:eastAsia="宋体" w:hAnsi="Arial" w:cs="Arial"/>
          <w:b/>
          <w:sz w:val="24"/>
          <w:lang w:val="en-GB" w:eastAsia="ko-KR"/>
        </w:rPr>
        <w:t>1</w:t>
      </w:r>
      <w:r w:rsidR="001C397B">
        <w:rPr>
          <w:rFonts w:ascii="Arial" w:eastAsia="宋体" w:hAnsi="Arial" w:cs="Arial"/>
          <w:b/>
          <w:sz w:val="24"/>
          <w:lang w:val="en-GB" w:eastAsia="ko-KR"/>
        </w:rPr>
        <w:t>5402</w:t>
      </w:r>
    </w:p>
    <w:p w:rsidR="00A44F96" w:rsidRPr="00B40311" w:rsidRDefault="00466A15" w:rsidP="008A6635">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Pr>
          <w:rFonts w:ascii="Arial" w:eastAsia="宋体" w:hAnsi="Arial" w:cs="Arial"/>
          <w:b/>
          <w:sz w:val="24"/>
          <w:lang w:val="en-GB" w:eastAsia="ko-KR"/>
        </w:rPr>
        <w:t>Xiamen</w:t>
      </w:r>
      <w:r w:rsidR="00043F9E">
        <w:rPr>
          <w:rFonts w:ascii="Arial" w:eastAsia="宋体" w:hAnsi="Arial" w:cs="Arial"/>
          <w:b/>
          <w:sz w:val="24"/>
          <w:lang w:val="en-GB" w:eastAsia="ko-KR"/>
        </w:rPr>
        <w:t xml:space="preserve">, </w:t>
      </w:r>
      <w:r>
        <w:rPr>
          <w:rFonts w:ascii="Arial" w:eastAsia="宋体" w:hAnsi="Arial" w:cs="Arial"/>
          <w:b/>
          <w:sz w:val="24"/>
          <w:lang w:val="en-GB" w:eastAsia="ko-KR"/>
        </w:rPr>
        <w:t>China</w:t>
      </w:r>
      <w:r w:rsidR="00043F9E">
        <w:rPr>
          <w:rFonts w:ascii="Arial" w:eastAsia="宋体" w:hAnsi="Arial" w:cs="Arial"/>
          <w:b/>
          <w:sz w:val="24"/>
          <w:lang w:val="en-GB" w:eastAsia="ko-KR"/>
        </w:rPr>
        <w:t>,</w:t>
      </w:r>
      <w:r w:rsidR="00043F9E" w:rsidRPr="00902E98">
        <w:rPr>
          <w:rFonts w:ascii="Arial" w:eastAsia="宋体" w:hAnsi="Arial" w:cs="Arial"/>
          <w:b/>
          <w:sz w:val="24"/>
          <w:lang w:val="en-GB" w:eastAsia="ko-KR"/>
        </w:rPr>
        <w:t xml:space="preserve"> </w:t>
      </w:r>
      <w:r>
        <w:rPr>
          <w:rFonts w:ascii="Arial" w:eastAsia="宋体" w:hAnsi="Arial" w:cs="Arial"/>
          <w:b/>
          <w:sz w:val="24"/>
          <w:lang w:val="en-GB" w:eastAsia="ko-KR"/>
        </w:rPr>
        <w:t>9</w:t>
      </w:r>
      <w:r w:rsidR="00043F9E">
        <w:rPr>
          <w:rFonts w:ascii="Arial" w:eastAsia="宋体" w:hAnsi="Arial" w:cs="Arial"/>
          <w:b/>
          <w:sz w:val="24"/>
          <w:vertAlign w:val="superscript"/>
          <w:lang w:val="en-GB" w:eastAsia="ko-KR"/>
        </w:rPr>
        <w:t>th</w:t>
      </w:r>
      <w:r w:rsidR="00043F9E" w:rsidRPr="00902E98">
        <w:rPr>
          <w:rFonts w:ascii="Arial" w:eastAsia="宋体" w:hAnsi="Arial" w:cs="Arial"/>
          <w:b/>
          <w:sz w:val="24"/>
          <w:lang w:val="en-GB" w:eastAsia="ko-KR"/>
        </w:rPr>
        <w:t xml:space="preserve"> </w:t>
      </w:r>
      <w:r>
        <w:rPr>
          <w:rFonts w:ascii="Arial" w:eastAsia="宋体" w:hAnsi="Arial" w:cs="Arial"/>
          <w:b/>
          <w:sz w:val="24"/>
          <w:lang w:val="en-GB" w:eastAsia="ko-KR"/>
        </w:rPr>
        <w:t>Oct</w:t>
      </w:r>
      <w:r w:rsidR="00043F9E">
        <w:rPr>
          <w:rFonts w:ascii="Arial" w:eastAsia="宋体" w:hAnsi="Arial" w:cs="Arial"/>
          <w:b/>
          <w:sz w:val="24"/>
          <w:lang w:val="en-GB" w:eastAsia="ko-KR"/>
        </w:rPr>
        <w:t xml:space="preserve">. </w:t>
      </w:r>
      <w:r w:rsidR="00043F9E" w:rsidRPr="00902E98">
        <w:rPr>
          <w:rFonts w:ascii="Arial" w:eastAsia="宋体" w:hAnsi="Arial" w:cs="Arial"/>
          <w:b/>
          <w:sz w:val="24"/>
          <w:lang w:val="en-GB" w:eastAsia="ko-KR"/>
        </w:rPr>
        <w:t xml:space="preserve">– </w:t>
      </w:r>
      <w:r>
        <w:rPr>
          <w:rFonts w:ascii="Arial" w:eastAsia="宋体" w:hAnsi="Arial" w:cs="Arial"/>
          <w:b/>
          <w:sz w:val="24"/>
          <w:lang w:val="en-GB" w:eastAsia="ko-KR"/>
        </w:rPr>
        <w:t>13</w:t>
      </w:r>
      <w:r w:rsidR="00043F9E">
        <w:rPr>
          <w:rFonts w:ascii="Arial" w:eastAsia="宋体" w:hAnsi="Arial" w:cs="Arial"/>
          <w:b/>
          <w:sz w:val="24"/>
          <w:vertAlign w:val="superscript"/>
          <w:lang w:val="en-GB" w:eastAsia="ko-KR"/>
        </w:rPr>
        <w:t>th</w:t>
      </w:r>
      <w:r w:rsidR="00043F9E" w:rsidRPr="00902E98">
        <w:rPr>
          <w:rFonts w:ascii="Arial" w:eastAsia="宋体" w:hAnsi="Arial" w:cs="Arial"/>
          <w:b/>
          <w:sz w:val="24"/>
          <w:lang w:val="en-GB" w:eastAsia="ko-KR"/>
        </w:rPr>
        <w:t xml:space="preserve"> </w:t>
      </w:r>
      <w:r>
        <w:rPr>
          <w:rFonts w:ascii="Arial" w:eastAsia="宋体" w:hAnsi="Arial" w:cs="Arial"/>
          <w:b/>
          <w:sz w:val="24"/>
          <w:lang w:val="en-GB"/>
        </w:rPr>
        <w:t>Oct</w:t>
      </w:r>
      <w:r w:rsidR="00043F9E">
        <w:rPr>
          <w:rFonts w:ascii="Arial" w:eastAsia="宋体" w:hAnsi="Arial" w:cs="Arial"/>
          <w:b/>
          <w:sz w:val="24"/>
          <w:lang w:val="en-GB"/>
        </w:rPr>
        <w:t>.</w:t>
      </w:r>
      <w:r w:rsidR="00043F9E" w:rsidRPr="00902E98">
        <w:rPr>
          <w:rFonts w:ascii="Arial" w:eastAsia="宋体" w:hAnsi="Arial" w:cs="Arial"/>
          <w:b/>
          <w:sz w:val="24"/>
          <w:lang w:val="en-GB" w:eastAsia="ko-KR"/>
        </w:rPr>
        <w:t>,</w:t>
      </w:r>
      <w:r w:rsidR="00043F9E" w:rsidRPr="00902E98">
        <w:rPr>
          <w:rFonts w:ascii="Arial" w:eastAsia="宋体" w:hAnsi="Arial" w:cs="Arial" w:hint="eastAsia"/>
          <w:b/>
          <w:sz w:val="24"/>
          <w:lang w:val="en-GB" w:eastAsia="ko-KR"/>
        </w:rPr>
        <w:t xml:space="preserve"> 20</w:t>
      </w:r>
      <w:r w:rsidR="00043F9E" w:rsidRPr="00902E98">
        <w:rPr>
          <w:rFonts w:ascii="Arial" w:eastAsia="宋体" w:hAnsi="Arial" w:cs="Arial"/>
          <w:b/>
          <w:sz w:val="24"/>
          <w:lang w:val="en-GB" w:eastAsia="ko-KR"/>
        </w:rPr>
        <w:t>2</w:t>
      </w:r>
      <w:r w:rsidR="00043F9E">
        <w:rPr>
          <w:rFonts w:ascii="Arial" w:eastAsia="宋体" w:hAnsi="Arial" w:cs="Arial"/>
          <w:b/>
          <w:sz w:val="24"/>
          <w:lang w:val="en-GB" w:eastAsia="ko-KR"/>
        </w:rPr>
        <w:t>3</w:t>
      </w:r>
    </w:p>
    <w:p w:rsidR="0054389C" w:rsidRPr="00295EE0"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szCs w:val="20"/>
          <w:lang w:val="en-GB" w:eastAsia="ko-KR"/>
        </w:rPr>
      </w:pPr>
      <w:r w:rsidRPr="00B40311">
        <w:rPr>
          <w:rFonts w:ascii="Arial" w:eastAsia="宋体" w:hAnsi="Arial" w:cs="Arial"/>
          <w:b/>
          <w:sz w:val="24"/>
          <w:lang w:val="en-GB" w:eastAsia="ko-KR"/>
        </w:rPr>
        <w:t>Title:</w:t>
      </w:r>
      <w:r w:rsidRPr="00B40311">
        <w:rPr>
          <w:rFonts w:ascii="Arial" w:eastAsia="宋体" w:hAnsi="Arial" w:cs="Arial"/>
          <w:b/>
          <w:sz w:val="24"/>
          <w:lang w:val="en-GB" w:eastAsia="ko-KR"/>
        </w:rPr>
        <w:tab/>
      </w:r>
      <w:r w:rsidR="00016112">
        <w:rPr>
          <w:rFonts w:ascii="Arial" w:eastAsia="宋体" w:hAnsi="Arial" w:cs="Arial"/>
          <w:b/>
          <w:sz w:val="24"/>
          <w:lang w:val="en-GB" w:eastAsia="ko-KR"/>
        </w:rPr>
        <w:t xml:space="preserve">Discussion on </w:t>
      </w:r>
      <w:r w:rsidR="00E16A41">
        <w:rPr>
          <w:rFonts w:ascii="Arial" w:eastAsia="宋体" w:hAnsi="Arial" w:cs="Arial"/>
          <w:b/>
          <w:sz w:val="24"/>
          <w:lang w:val="en-GB" w:eastAsia="ko-KR"/>
        </w:rPr>
        <w:t xml:space="preserve">general aspects and scenarios for </w:t>
      </w:r>
      <w:r w:rsidR="00223C0A">
        <w:rPr>
          <w:rFonts w:ascii="Arial" w:eastAsia="宋体" w:hAnsi="Arial" w:cs="Arial"/>
          <w:b/>
          <w:sz w:val="24"/>
          <w:lang w:val="en-GB" w:eastAsia="ko-KR"/>
        </w:rPr>
        <w:t>LTM</w:t>
      </w:r>
      <w:r w:rsidR="0063287F" w:rsidRPr="0063287F">
        <w:rPr>
          <w:rFonts w:ascii="Arial" w:eastAsia="宋体" w:hAnsi="Arial" w:cs="Arial"/>
          <w:b/>
          <w:sz w:val="24"/>
          <w:lang w:val="en-GB"/>
        </w:rPr>
        <w:t xml:space="preserve"> </w:t>
      </w:r>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B40311">
        <w:rPr>
          <w:rFonts w:ascii="Arial" w:eastAsia="宋体" w:hAnsi="Arial" w:cs="Arial"/>
          <w:b/>
          <w:sz w:val="24"/>
          <w:lang w:val="en-GB" w:eastAsia="ko-KR"/>
        </w:rPr>
        <w:t>Source:</w:t>
      </w:r>
      <w:r w:rsidRPr="00B40311">
        <w:rPr>
          <w:rFonts w:ascii="Arial" w:eastAsia="宋体" w:hAnsi="Arial" w:cs="Arial"/>
          <w:b/>
          <w:sz w:val="24"/>
          <w:lang w:val="en-GB" w:eastAsia="ko-KR"/>
        </w:rPr>
        <w:tab/>
      </w:r>
      <w:r>
        <w:rPr>
          <w:rFonts w:ascii="Arial" w:eastAsia="宋体" w:hAnsi="Arial" w:cs="Arial"/>
          <w:b/>
          <w:sz w:val="24"/>
          <w:lang w:val="en-GB" w:eastAsia="ko-KR"/>
        </w:rPr>
        <w:t>Xiaomi</w:t>
      </w:r>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rPr>
      </w:pPr>
      <w:r w:rsidRPr="00B40311">
        <w:rPr>
          <w:rFonts w:ascii="Arial" w:eastAsia="宋体" w:hAnsi="Arial" w:cs="Arial"/>
          <w:b/>
          <w:sz w:val="24"/>
          <w:lang w:val="en-GB" w:eastAsia="ko-KR"/>
        </w:rPr>
        <w:t>Agenda Item:</w:t>
      </w:r>
      <w:r w:rsidRPr="00B40311">
        <w:rPr>
          <w:rFonts w:ascii="Arial" w:eastAsia="宋体" w:hAnsi="Arial" w:cs="Arial"/>
          <w:b/>
          <w:sz w:val="24"/>
          <w:lang w:val="en-GB" w:eastAsia="ko-KR"/>
        </w:rPr>
        <w:tab/>
      </w:r>
      <w:r w:rsidR="001C397B" w:rsidRPr="001C397B">
        <w:rPr>
          <w:rFonts w:ascii="Arial" w:eastAsia="宋体" w:hAnsi="Arial" w:cs="Arial"/>
          <w:b/>
          <w:sz w:val="24"/>
          <w:lang w:val="en-GB"/>
        </w:rPr>
        <w:t>5</w:t>
      </w:r>
      <w:r w:rsidR="00BB2035" w:rsidRPr="001C397B">
        <w:rPr>
          <w:rFonts w:ascii="Arial" w:eastAsia="宋体" w:hAnsi="Arial" w:cs="Arial"/>
          <w:b/>
          <w:sz w:val="24"/>
          <w:lang w:val="en-GB"/>
        </w:rPr>
        <w:t>.2</w:t>
      </w:r>
      <w:r w:rsidR="008F07AF" w:rsidRPr="001C397B">
        <w:rPr>
          <w:rFonts w:ascii="Arial" w:eastAsia="宋体" w:hAnsi="Arial" w:cs="Arial"/>
          <w:b/>
          <w:sz w:val="24"/>
          <w:lang w:val="en-GB"/>
        </w:rPr>
        <w:t>4</w:t>
      </w:r>
      <w:r w:rsidR="00BB2035" w:rsidRPr="001C397B">
        <w:rPr>
          <w:rFonts w:ascii="Arial" w:eastAsia="宋体" w:hAnsi="Arial" w:cs="Arial"/>
          <w:b/>
          <w:sz w:val="24"/>
          <w:lang w:val="en-GB"/>
        </w:rPr>
        <w:t>.2.1</w:t>
      </w:r>
      <w:r w:rsidR="001C397B" w:rsidRPr="001C397B">
        <w:rPr>
          <w:rFonts w:ascii="Arial" w:eastAsia="宋体" w:hAnsi="Arial" w:cs="Arial"/>
          <w:b/>
          <w:sz w:val="24"/>
          <w:lang w:val="en-GB"/>
        </w:rPr>
        <w:t>.1</w:t>
      </w:r>
      <w:bookmarkStart w:id="0" w:name="_GoBack"/>
      <w:bookmarkEnd w:id="0"/>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B40311">
        <w:rPr>
          <w:rFonts w:ascii="Arial" w:eastAsia="宋体" w:hAnsi="Arial" w:cs="Arial"/>
          <w:b/>
          <w:sz w:val="24"/>
          <w:lang w:val="en-GB" w:eastAsia="ko-KR"/>
        </w:rPr>
        <w:t>Document for:</w:t>
      </w:r>
      <w:r w:rsidRPr="00B40311">
        <w:rPr>
          <w:rFonts w:ascii="Arial" w:eastAsia="宋体" w:hAnsi="Arial" w:cs="Arial"/>
          <w:b/>
          <w:sz w:val="24"/>
          <w:lang w:val="en-GB" w:eastAsia="ko-KR"/>
        </w:rPr>
        <w:tab/>
        <w:t>Discussion</w:t>
      </w:r>
    </w:p>
    <w:p w:rsidR="0054389C" w:rsidRDefault="0054389C" w:rsidP="0054389C">
      <w:pPr>
        <w:pStyle w:val="1"/>
        <w:numPr>
          <w:ilvl w:val="0"/>
          <w:numId w:val="2"/>
        </w:numPr>
        <w:spacing w:after="0"/>
        <w:ind w:left="0" w:firstLine="0"/>
        <w:rPr>
          <w:rFonts w:eastAsiaTheme="minorEastAsia" w:cs="Times New Roman"/>
          <w:color w:val="auto"/>
          <w:kern w:val="0"/>
          <w:lang w:eastAsia="zh-CN"/>
        </w:rPr>
      </w:pPr>
      <w:r w:rsidRPr="00EC4AE2">
        <w:rPr>
          <w:rFonts w:eastAsia="Times New Roman" w:cs="Times New Roman"/>
          <w:color w:val="auto"/>
          <w:kern w:val="0"/>
        </w:rPr>
        <w:t>Introduction</w:t>
      </w:r>
    </w:p>
    <w:p w:rsidR="000D163E" w:rsidRDefault="000D163E">
      <w:pPr>
        <w:rPr>
          <w:rFonts w:ascii="Times New Roman" w:hAnsi="Times New Roman" w:cs="Times New Roman"/>
          <w:sz w:val="20"/>
          <w:szCs w:val="20"/>
        </w:rPr>
      </w:pPr>
      <w:r w:rsidRPr="000D163E">
        <w:rPr>
          <w:rFonts w:ascii="Times New Roman" w:hAnsi="Times New Roman" w:cs="Times New Roman" w:hint="eastAsia"/>
          <w:sz w:val="20"/>
          <w:szCs w:val="20"/>
        </w:rPr>
        <w:t>I</w:t>
      </w:r>
      <w:r w:rsidR="00F301DE">
        <w:rPr>
          <w:rFonts w:ascii="Times New Roman" w:hAnsi="Times New Roman" w:cs="Times New Roman"/>
          <w:sz w:val="20"/>
          <w:szCs w:val="20"/>
        </w:rPr>
        <w:t>n RAN</w:t>
      </w:r>
      <w:r w:rsidR="00432A04">
        <w:rPr>
          <w:rFonts w:ascii="Times New Roman" w:hAnsi="Times New Roman" w:cs="Times New Roman"/>
          <w:sz w:val="20"/>
          <w:szCs w:val="20"/>
        </w:rPr>
        <w:t>4</w:t>
      </w:r>
      <w:r w:rsidR="00F301DE">
        <w:rPr>
          <w:rFonts w:ascii="Times New Roman" w:hAnsi="Times New Roman" w:cs="Times New Roman"/>
          <w:sz w:val="20"/>
          <w:szCs w:val="20"/>
        </w:rPr>
        <w:t>#</w:t>
      </w:r>
      <w:r w:rsidR="00432A04">
        <w:rPr>
          <w:rFonts w:ascii="Times New Roman" w:hAnsi="Times New Roman" w:cs="Times New Roman"/>
          <w:sz w:val="20"/>
          <w:szCs w:val="20"/>
        </w:rPr>
        <w:t>10</w:t>
      </w:r>
      <w:r w:rsidR="0037596F">
        <w:rPr>
          <w:rFonts w:ascii="Times New Roman" w:hAnsi="Times New Roman" w:cs="Times New Roman"/>
          <w:sz w:val="20"/>
          <w:szCs w:val="20"/>
        </w:rPr>
        <w:t>8</w:t>
      </w:r>
      <w:r>
        <w:rPr>
          <w:rFonts w:ascii="Times New Roman" w:hAnsi="Times New Roman" w:cs="Times New Roman"/>
          <w:sz w:val="20"/>
          <w:szCs w:val="20"/>
        </w:rPr>
        <w:t xml:space="preserve"> meeting, </w:t>
      </w:r>
      <w:r w:rsidR="001C2469">
        <w:rPr>
          <w:rFonts w:ascii="Times New Roman" w:hAnsi="Times New Roman" w:cs="Times New Roman"/>
          <w:sz w:val="20"/>
          <w:szCs w:val="20"/>
        </w:rPr>
        <w:t>RAN4 has some discussion on</w:t>
      </w:r>
      <w:r w:rsidR="00016112">
        <w:rPr>
          <w:rFonts w:ascii="Times New Roman" w:hAnsi="Times New Roman" w:cs="Times New Roman"/>
          <w:sz w:val="20"/>
          <w:szCs w:val="20"/>
        </w:rPr>
        <w:t xml:space="preserve"> </w:t>
      </w:r>
      <w:r w:rsidR="00DA2FD9">
        <w:rPr>
          <w:rFonts w:ascii="Times New Roman" w:hAnsi="Times New Roman" w:cs="Times New Roman"/>
          <w:sz w:val="20"/>
          <w:szCs w:val="20"/>
        </w:rPr>
        <w:t>the general aspects and scenarios for LTM</w:t>
      </w:r>
      <w:r w:rsidR="001C2469">
        <w:rPr>
          <w:rFonts w:ascii="Times New Roman" w:hAnsi="Times New Roman" w:cs="Times New Roman"/>
          <w:sz w:val="20"/>
          <w:szCs w:val="20"/>
        </w:rPr>
        <w:t>, the related WF was approved in [1]</w:t>
      </w:r>
      <w:r w:rsidR="00AF6FB1">
        <w:rPr>
          <w:rFonts w:ascii="Times New Roman" w:hAnsi="Times New Roman" w:cs="Times New Roman"/>
          <w:sz w:val="20"/>
          <w:szCs w:val="20"/>
        </w:rPr>
        <w:t xml:space="preserve">. </w:t>
      </w:r>
      <w:r>
        <w:rPr>
          <w:rFonts w:ascii="Times New Roman" w:hAnsi="Times New Roman" w:cs="Times New Roman"/>
          <w:sz w:val="20"/>
          <w:szCs w:val="20"/>
        </w:rPr>
        <w:t xml:space="preserve">In this contribution, we </w:t>
      </w:r>
      <w:r w:rsidR="00F301DE">
        <w:rPr>
          <w:rFonts w:ascii="Times New Roman" w:hAnsi="Times New Roman" w:cs="Times New Roman"/>
          <w:sz w:val="20"/>
          <w:szCs w:val="20"/>
        </w:rPr>
        <w:t xml:space="preserve">would like to </w:t>
      </w:r>
      <w:r>
        <w:rPr>
          <w:rFonts w:ascii="Times New Roman" w:hAnsi="Times New Roman" w:cs="Times New Roman"/>
          <w:sz w:val="20"/>
          <w:szCs w:val="20"/>
        </w:rPr>
        <w:t xml:space="preserve">discuss </w:t>
      </w:r>
      <w:r w:rsidR="00522680">
        <w:rPr>
          <w:rFonts w:ascii="Times New Roman" w:hAnsi="Times New Roman" w:cs="Times New Roman"/>
          <w:sz w:val="20"/>
          <w:szCs w:val="20"/>
        </w:rPr>
        <w:t>the</w:t>
      </w:r>
      <w:r w:rsidR="008A2709">
        <w:rPr>
          <w:rFonts w:ascii="Times New Roman" w:hAnsi="Times New Roman" w:cs="Times New Roman"/>
          <w:sz w:val="20"/>
          <w:szCs w:val="20"/>
        </w:rPr>
        <w:t xml:space="preserve"> remaining issues for the</w:t>
      </w:r>
      <w:r w:rsidR="00522680">
        <w:rPr>
          <w:rFonts w:ascii="Times New Roman" w:hAnsi="Times New Roman" w:cs="Times New Roman"/>
          <w:sz w:val="20"/>
          <w:szCs w:val="20"/>
        </w:rPr>
        <w:t xml:space="preserve"> general aspects and scenarios for </w:t>
      </w:r>
      <w:r w:rsidR="00DA2FD9">
        <w:rPr>
          <w:rFonts w:ascii="Times New Roman" w:hAnsi="Times New Roman" w:cs="Times New Roman"/>
          <w:sz w:val="20"/>
          <w:szCs w:val="20"/>
        </w:rPr>
        <w:t>LTM</w:t>
      </w:r>
      <w:r w:rsidR="001D0D2B">
        <w:rPr>
          <w:rFonts w:ascii="Times New Roman" w:hAnsi="Times New Roman" w:cs="Times New Roman"/>
          <w:sz w:val="20"/>
          <w:szCs w:val="20"/>
        </w:rPr>
        <w:t xml:space="preserve"> </w:t>
      </w:r>
      <w:r>
        <w:rPr>
          <w:rFonts w:ascii="Times New Roman" w:hAnsi="Times New Roman" w:cs="Times New Roman"/>
          <w:sz w:val="20"/>
          <w:szCs w:val="20"/>
        </w:rPr>
        <w:t>and provide our proposals.</w:t>
      </w:r>
    </w:p>
    <w:p w:rsidR="007213C7" w:rsidRDefault="000D163E" w:rsidP="00F03B58">
      <w:pPr>
        <w:pStyle w:val="1"/>
        <w:numPr>
          <w:ilvl w:val="0"/>
          <w:numId w:val="2"/>
        </w:numPr>
        <w:spacing w:after="0"/>
        <w:ind w:left="0" w:firstLine="0"/>
        <w:rPr>
          <w:rFonts w:eastAsia="Times New Roman" w:cs="Times New Roman"/>
          <w:color w:val="auto"/>
          <w:kern w:val="0"/>
        </w:rPr>
      </w:pPr>
      <w:r>
        <w:rPr>
          <w:rFonts w:eastAsia="Times New Roman" w:cs="Times New Roman"/>
          <w:color w:val="auto"/>
          <w:kern w:val="0"/>
        </w:rPr>
        <w:t>Discussion</w:t>
      </w:r>
    </w:p>
    <w:p w:rsidR="004A4278" w:rsidRPr="004A4278" w:rsidRDefault="00EC1F0F" w:rsidP="004A4278">
      <w:pPr>
        <w:spacing w:after="180"/>
        <w:rPr>
          <w:rFonts w:ascii="Times New Roman" w:hAnsi="Times New Roman" w:cs="Times New Roman"/>
          <w:b/>
          <w:sz w:val="20"/>
          <w:szCs w:val="20"/>
          <w:u w:val="single"/>
        </w:rPr>
      </w:pPr>
      <w:r w:rsidRPr="00EC1F0F">
        <w:rPr>
          <w:rFonts w:ascii="Times New Roman" w:hAnsi="Times New Roman" w:cs="Times New Roman"/>
          <w:b/>
          <w:sz w:val="20"/>
          <w:szCs w:val="20"/>
          <w:u w:val="single"/>
        </w:rPr>
        <w:t>DL synchronization before cell switch command</w:t>
      </w:r>
    </w:p>
    <w:tbl>
      <w:tblPr>
        <w:tblW w:w="838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83"/>
      </w:tblGrid>
      <w:tr w:rsidR="004A4278" w:rsidTr="004A4278">
        <w:trPr>
          <w:trHeight w:val="771"/>
        </w:trPr>
        <w:tc>
          <w:tcPr>
            <w:tcW w:w="8383" w:type="dxa"/>
          </w:tcPr>
          <w:p w:rsidR="00CB572B" w:rsidRPr="00CB572B" w:rsidRDefault="00CB572B" w:rsidP="00CB572B">
            <w:pPr>
              <w:rPr>
                <w:rFonts w:ascii="Times New Roman" w:hAnsi="Times New Roman" w:cs="Times New Roman"/>
                <w:b/>
                <w:sz w:val="20"/>
                <w:szCs w:val="20"/>
                <w:u w:val="single"/>
                <w:lang w:eastAsia="ko-KR"/>
              </w:rPr>
            </w:pPr>
            <w:r w:rsidRPr="00CB572B">
              <w:rPr>
                <w:rFonts w:ascii="Times New Roman" w:hAnsi="Times New Roman" w:cs="Times New Roman"/>
                <w:b/>
                <w:sz w:val="20"/>
                <w:szCs w:val="20"/>
                <w:u w:val="single"/>
                <w:lang w:eastAsia="ko-KR"/>
              </w:rPr>
              <w:t xml:space="preserve">Issue 1-1-1: </w:t>
            </w:r>
            <w:r w:rsidRPr="00CB572B">
              <w:rPr>
                <w:rFonts w:ascii="Times New Roman" w:hAnsi="Times New Roman" w:cs="Times New Roman"/>
                <w:b/>
                <w:sz w:val="20"/>
                <w:szCs w:val="20"/>
                <w:highlight w:val="yellow"/>
                <w:u w:val="single"/>
                <w:lang w:eastAsia="ko-KR"/>
              </w:rPr>
              <w:t>When</w:t>
            </w:r>
            <w:r w:rsidRPr="00CB572B">
              <w:rPr>
                <w:rFonts w:ascii="Times New Roman" w:hAnsi="Times New Roman" w:cs="Times New Roman"/>
                <w:b/>
                <w:sz w:val="20"/>
                <w:szCs w:val="20"/>
                <w:u w:val="single"/>
                <w:lang w:eastAsia="ko-KR"/>
              </w:rPr>
              <w:t xml:space="preserve"> and how to acquire SFN of the candidate cell</w:t>
            </w:r>
          </w:p>
          <w:p w:rsidR="00CB572B" w:rsidRPr="00CB572B" w:rsidRDefault="00CB572B" w:rsidP="00CB572B">
            <w:pPr>
              <w:rPr>
                <w:rFonts w:ascii="Times New Roman" w:hAnsi="Times New Roman" w:cs="Times New Roman"/>
                <w:b/>
                <w:sz w:val="20"/>
                <w:szCs w:val="20"/>
                <w:u w:val="single"/>
              </w:rPr>
            </w:pPr>
            <w:r w:rsidRPr="00CB572B">
              <w:rPr>
                <w:rFonts w:ascii="Times New Roman" w:hAnsi="Times New Roman" w:cs="Times New Roman"/>
                <w:b/>
                <w:sz w:val="20"/>
                <w:szCs w:val="20"/>
              </w:rPr>
              <w:t>&lt; Way Forward&gt;</w:t>
            </w:r>
            <w:r w:rsidRPr="00CB572B">
              <w:rPr>
                <w:rFonts w:ascii="Times New Roman" w:hAnsi="Times New Roman" w:cs="Times New Roman"/>
                <w:sz w:val="20"/>
                <w:szCs w:val="20"/>
              </w:rPr>
              <w:t xml:space="preserve">: </w:t>
            </w:r>
            <w:r w:rsidRPr="00CB572B">
              <w:rPr>
                <w:rFonts w:ascii="Times New Roman" w:hAnsi="Times New Roman" w:cs="Times New Roman"/>
                <w:bCs/>
                <w:sz w:val="20"/>
                <w:szCs w:val="20"/>
              </w:rPr>
              <w:t xml:space="preserve">FFS the following </w:t>
            </w:r>
            <w:r w:rsidRPr="00CB572B">
              <w:rPr>
                <w:rFonts w:ascii="Times New Roman" w:eastAsia="宋体" w:hAnsi="Times New Roman" w:cs="Times New Roman"/>
                <w:sz w:val="20"/>
                <w:szCs w:val="20"/>
              </w:rPr>
              <w:t>Options and focus on discuss when to acquire SFN of the candidate cell in next meeting:</w:t>
            </w:r>
          </w:p>
          <w:p w:rsidR="00CB572B" w:rsidRPr="00CB572B" w:rsidRDefault="00CB572B" w:rsidP="00CB572B">
            <w:pPr>
              <w:pStyle w:val="a7"/>
              <w:numPr>
                <w:ilvl w:val="1"/>
                <w:numId w:val="4"/>
              </w:numPr>
              <w:spacing w:after="120"/>
              <w:ind w:left="1440"/>
              <w:contextualSpacing w:val="0"/>
              <w:rPr>
                <w:sz w:val="20"/>
                <w:szCs w:val="20"/>
                <w:lang w:eastAsia="zh-CN"/>
              </w:rPr>
            </w:pPr>
            <w:r w:rsidRPr="00CB572B">
              <w:rPr>
                <w:sz w:val="20"/>
                <w:szCs w:val="20"/>
                <w:lang w:eastAsia="zh-CN"/>
              </w:rPr>
              <w:t>Option 1 (MTK): UE gets SFN of target cell through NW configuration (deriveSSB-IndexFromCell or deriveSSB-IndexFromCellInter-r17 is enabled, or NW configures candidate cells’ SFN) for both FR1 and FR2.</w:t>
            </w:r>
          </w:p>
          <w:p w:rsidR="00CB572B" w:rsidRPr="00CB572B" w:rsidRDefault="00CB572B" w:rsidP="00CB572B">
            <w:pPr>
              <w:pStyle w:val="a7"/>
              <w:numPr>
                <w:ilvl w:val="1"/>
                <w:numId w:val="4"/>
              </w:numPr>
              <w:spacing w:after="120"/>
              <w:ind w:left="1440"/>
              <w:contextualSpacing w:val="0"/>
              <w:rPr>
                <w:sz w:val="20"/>
                <w:szCs w:val="20"/>
                <w:lang w:eastAsia="zh-CN"/>
              </w:rPr>
            </w:pPr>
            <w:r w:rsidRPr="00CB572B">
              <w:rPr>
                <w:sz w:val="20"/>
                <w:szCs w:val="20"/>
                <w:lang w:eastAsia="zh-CN"/>
              </w:rPr>
              <w:t>Option 2 (CATT, xiaomi, CTC):</w:t>
            </w:r>
          </w:p>
          <w:p w:rsidR="00CB572B" w:rsidRPr="00CB572B" w:rsidRDefault="00CB572B" w:rsidP="00CB572B">
            <w:pPr>
              <w:pStyle w:val="a7"/>
              <w:numPr>
                <w:ilvl w:val="2"/>
                <w:numId w:val="4"/>
              </w:numPr>
              <w:spacing w:after="120"/>
              <w:contextualSpacing w:val="0"/>
              <w:rPr>
                <w:sz w:val="20"/>
                <w:szCs w:val="20"/>
                <w:lang w:eastAsia="zh-CN"/>
              </w:rPr>
            </w:pPr>
            <w:r w:rsidRPr="00CB572B">
              <w:rPr>
                <w:sz w:val="20"/>
                <w:szCs w:val="20"/>
                <w:lang w:eastAsia="zh-CN"/>
              </w:rPr>
              <w:t>If ‘deriveSSB-IndexFromCell’ or ‘deriveSSB-IndexFromCellInter-r17’ is enabled, the target cell SFN can be directly acquired.</w:t>
            </w:r>
          </w:p>
          <w:p w:rsidR="00CB572B" w:rsidRPr="00CB572B" w:rsidRDefault="00CB572B" w:rsidP="00CB572B">
            <w:pPr>
              <w:pStyle w:val="a7"/>
              <w:numPr>
                <w:ilvl w:val="2"/>
                <w:numId w:val="4"/>
              </w:numPr>
              <w:spacing w:after="120"/>
              <w:contextualSpacing w:val="0"/>
              <w:rPr>
                <w:sz w:val="20"/>
                <w:szCs w:val="20"/>
                <w:lang w:eastAsia="zh-CN"/>
              </w:rPr>
            </w:pPr>
            <w:r w:rsidRPr="00CB572B">
              <w:rPr>
                <w:sz w:val="20"/>
                <w:szCs w:val="20"/>
                <w:lang w:eastAsia="zh-CN"/>
              </w:rPr>
              <w:t>Otherwise, UE needs to acquire target cell SFN by reading MIB</w:t>
            </w:r>
          </w:p>
          <w:p w:rsidR="00CB572B" w:rsidRPr="00CB572B" w:rsidRDefault="00CB572B" w:rsidP="00CB572B">
            <w:pPr>
              <w:pStyle w:val="a7"/>
              <w:numPr>
                <w:ilvl w:val="1"/>
                <w:numId w:val="4"/>
              </w:numPr>
              <w:spacing w:after="120"/>
              <w:ind w:left="1440"/>
              <w:contextualSpacing w:val="0"/>
              <w:rPr>
                <w:sz w:val="20"/>
                <w:szCs w:val="20"/>
                <w:lang w:eastAsia="zh-CN"/>
              </w:rPr>
            </w:pPr>
            <w:r w:rsidRPr="00CB572B">
              <w:rPr>
                <w:sz w:val="20"/>
                <w:szCs w:val="20"/>
                <w:lang w:eastAsia="zh-CN"/>
              </w:rPr>
              <w:t xml:space="preserve">Option 3 (vivo): </w:t>
            </w:r>
          </w:p>
          <w:p w:rsidR="00CB572B" w:rsidRPr="00CB572B" w:rsidRDefault="00CB572B" w:rsidP="00CB572B">
            <w:pPr>
              <w:pStyle w:val="a7"/>
              <w:numPr>
                <w:ilvl w:val="2"/>
                <w:numId w:val="4"/>
              </w:numPr>
              <w:spacing w:after="120"/>
              <w:contextualSpacing w:val="0"/>
              <w:rPr>
                <w:sz w:val="20"/>
                <w:szCs w:val="20"/>
                <w:lang w:eastAsia="zh-CN"/>
              </w:rPr>
            </w:pPr>
            <w:r w:rsidRPr="00CB572B">
              <w:rPr>
                <w:sz w:val="20"/>
                <w:szCs w:val="20"/>
                <w:lang w:eastAsia="zh-CN"/>
              </w:rPr>
              <w:t xml:space="preserve">For DL sync before cell switch, the symbol/slot/frame boundary acquisition is assumed to be completed if UE starts to perform L1 measurement on the SSB frequency of the target/candidate cell. </w:t>
            </w:r>
          </w:p>
          <w:p w:rsidR="00CB572B" w:rsidRPr="00CB572B" w:rsidRDefault="00CB572B" w:rsidP="00CB572B">
            <w:pPr>
              <w:pStyle w:val="a7"/>
              <w:numPr>
                <w:ilvl w:val="2"/>
                <w:numId w:val="4"/>
              </w:numPr>
              <w:spacing w:after="120"/>
              <w:contextualSpacing w:val="0"/>
              <w:rPr>
                <w:sz w:val="20"/>
                <w:szCs w:val="20"/>
                <w:lang w:eastAsia="zh-CN"/>
              </w:rPr>
            </w:pPr>
            <w:r w:rsidRPr="00CB572B">
              <w:rPr>
                <w:sz w:val="20"/>
                <w:szCs w:val="20"/>
                <w:lang w:eastAsia="zh-CN"/>
              </w:rPr>
              <w:t>For DL sync before cell switch, if SFN alignment cannot be assumed by UE, the SFN acquisition is assumed to be completed if UE performs L1 measurement on the target/candidate cell for at least one measurement occasion.</w:t>
            </w:r>
          </w:p>
          <w:p w:rsidR="004A4278" w:rsidRPr="00A2749C" w:rsidRDefault="00CB572B" w:rsidP="00CB572B">
            <w:pPr>
              <w:pStyle w:val="a7"/>
              <w:numPr>
                <w:ilvl w:val="2"/>
                <w:numId w:val="4"/>
              </w:numPr>
              <w:spacing w:after="120"/>
              <w:contextualSpacing w:val="0"/>
              <w:rPr>
                <w:lang w:eastAsia="zh-CN"/>
              </w:rPr>
            </w:pPr>
            <w:r w:rsidRPr="00CB572B">
              <w:rPr>
                <w:sz w:val="20"/>
                <w:szCs w:val="20"/>
                <w:lang w:eastAsia="zh-CN"/>
              </w:rPr>
              <w:t>If both symbol/slot/frame boundary acquisition and SFN acquisition are assumed to be completed before cell switch, the T_delta in the cell switch delay can be set as zero.</w:t>
            </w:r>
          </w:p>
        </w:tc>
      </w:tr>
    </w:tbl>
    <w:p w:rsidR="00B45648" w:rsidRDefault="00E93A07" w:rsidP="00E93A07">
      <w:pPr>
        <w:rPr>
          <w:rFonts w:ascii="Times New Roman" w:hAnsi="Times New Roman" w:cs="Times New Roman"/>
          <w:sz w:val="20"/>
          <w:szCs w:val="20"/>
          <w:lang w:val="en-GB"/>
        </w:rPr>
      </w:pPr>
      <w:r>
        <w:rPr>
          <w:rFonts w:ascii="Times New Roman" w:hAnsi="Times New Roman" w:cs="Times New Roman"/>
          <w:sz w:val="20"/>
          <w:szCs w:val="20"/>
          <w:lang w:val="en-GB"/>
        </w:rPr>
        <w:t xml:space="preserve">RAN4 has agreed not to define any new requirements for SFN acquisition delay for target cell before </w:t>
      </w:r>
      <w:r>
        <w:rPr>
          <w:rFonts w:ascii="Times New Roman" w:hAnsi="Times New Roman" w:cs="Times New Roman"/>
          <w:sz w:val="20"/>
          <w:szCs w:val="20"/>
          <w:lang w:val="en-GB"/>
        </w:rPr>
        <w:lastRenderedPageBreak/>
        <w:t>cell switch command, and FFS when and how to acquire SFN of the candidate ce</w:t>
      </w:r>
      <w:r w:rsidR="00E7448A">
        <w:rPr>
          <w:rFonts w:ascii="Times New Roman" w:hAnsi="Times New Roman" w:cs="Times New Roman"/>
          <w:sz w:val="20"/>
          <w:szCs w:val="20"/>
          <w:lang w:val="en-GB"/>
        </w:rPr>
        <w:t>ll. According to current spec, i</w:t>
      </w:r>
      <w:r w:rsidRPr="00E93A07">
        <w:rPr>
          <w:rFonts w:ascii="Times New Roman" w:hAnsi="Times New Roman" w:cs="Times New Roman"/>
          <w:sz w:val="20"/>
          <w:szCs w:val="20"/>
          <w:lang w:val="en-GB"/>
        </w:rPr>
        <w:t>f ‘</w:t>
      </w:r>
      <w:r w:rsidRPr="00E93A07">
        <w:rPr>
          <w:rFonts w:ascii="Times New Roman" w:hAnsi="Times New Roman" w:cs="Times New Roman"/>
          <w:i/>
          <w:sz w:val="20"/>
          <w:szCs w:val="20"/>
          <w:lang w:val="en-GB"/>
        </w:rPr>
        <w:t>deriveSSB-IndexFromCell</w:t>
      </w:r>
      <w:r w:rsidRPr="00E93A07">
        <w:rPr>
          <w:rFonts w:ascii="Times New Roman" w:hAnsi="Times New Roman" w:cs="Times New Roman"/>
          <w:sz w:val="20"/>
          <w:szCs w:val="20"/>
          <w:lang w:val="en-GB"/>
        </w:rPr>
        <w:t>’ or ‘</w:t>
      </w:r>
      <w:r w:rsidRPr="00E93A07">
        <w:rPr>
          <w:rFonts w:ascii="Times New Roman" w:hAnsi="Times New Roman" w:cs="Times New Roman"/>
          <w:i/>
          <w:sz w:val="20"/>
          <w:szCs w:val="20"/>
          <w:lang w:val="en-GB"/>
        </w:rPr>
        <w:t>deriveSSB-IndexFromCellInter-r17</w:t>
      </w:r>
      <w:r w:rsidRPr="00E93A07">
        <w:rPr>
          <w:rFonts w:ascii="Times New Roman" w:hAnsi="Times New Roman" w:cs="Times New Roman"/>
          <w:sz w:val="20"/>
          <w:szCs w:val="20"/>
          <w:lang w:val="en-GB"/>
        </w:rPr>
        <w:t xml:space="preserve">’ is enabled, </w:t>
      </w:r>
      <w:r>
        <w:rPr>
          <w:rFonts w:ascii="Times New Roman" w:hAnsi="Times New Roman" w:cs="Times New Roman"/>
          <w:sz w:val="20"/>
          <w:szCs w:val="20"/>
          <w:lang w:val="en-GB"/>
        </w:rPr>
        <w:t xml:space="preserve">SFN level alignment is assumed. </w:t>
      </w:r>
      <w:r w:rsidRPr="00E93A07">
        <w:rPr>
          <w:rFonts w:ascii="Times New Roman" w:hAnsi="Times New Roman" w:cs="Times New Roman"/>
          <w:sz w:val="20"/>
          <w:szCs w:val="20"/>
          <w:lang w:val="en-GB"/>
        </w:rPr>
        <w:t>Otherwise, UE may need to acquire target cell SFN by reading MIB</w:t>
      </w:r>
      <w:r>
        <w:rPr>
          <w:rFonts w:ascii="Times New Roman" w:hAnsi="Times New Roman" w:cs="Times New Roman"/>
          <w:sz w:val="20"/>
          <w:szCs w:val="20"/>
          <w:lang w:val="en-GB"/>
        </w:rPr>
        <w:t xml:space="preserve">, and the legacy </w:t>
      </w:r>
      <w:r w:rsidR="00870078">
        <w:rPr>
          <w:rFonts w:ascii="Times New Roman" w:hAnsi="Times New Roman" w:cs="Times New Roman"/>
          <w:sz w:val="20"/>
          <w:szCs w:val="20"/>
          <w:lang w:val="en-GB"/>
        </w:rPr>
        <w:t>delay requirement</w:t>
      </w:r>
      <w:r>
        <w:rPr>
          <w:rFonts w:ascii="Times New Roman" w:hAnsi="Times New Roman" w:cs="Times New Roman"/>
          <w:sz w:val="20"/>
          <w:szCs w:val="20"/>
          <w:lang w:val="en-GB"/>
        </w:rPr>
        <w:t xml:space="preserve"> of SFN acquisition</w:t>
      </w:r>
      <w:r w:rsidR="00870078">
        <w:rPr>
          <w:rFonts w:ascii="Times New Roman" w:hAnsi="Times New Roman" w:cs="Times New Roman"/>
          <w:sz w:val="20"/>
          <w:szCs w:val="20"/>
          <w:lang w:val="en-GB"/>
        </w:rPr>
        <w:t xml:space="preserve"> can be applied.</w:t>
      </w:r>
    </w:p>
    <w:p w:rsidR="00292214" w:rsidRPr="00FD389B" w:rsidRDefault="00870078" w:rsidP="00130412">
      <w:pPr>
        <w:spacing w:after="240"/>
        <w:rPr>
          <w:rFonts w:ascii="Times New Roman" w:hAnsi="Times New Roman" w:cs="Times New Roman"/>
          <w:b/>
          <w:sz w:val="20"/>
          <w:szCs w:val="20"/>
          <w:lang w:val="en-GB"/>
        </w:rPr>
      </w:pPr>
      <w:r>
        <w:rPr>
          <w:rFonts w:ascii="Times New Roman" w:hAnsi="Times New Roman" w:cs="Times New Roman"/>
          <w:b/>
          <w:sz w:val="20"/>
          <w:szCs w:val="20"/>
          <w:lang w:val="en-GB"/>
        </w:rPr>
        <w:t>Proposal 1</w:t>
      </w:r>
      <w:r w:rsidRPr="00200837">
        <w:rPr>
          <w:rFonts w:ascii="Times New Roman" w:hAnsi="Times New Roman" w:cs="Times New Roman"/>
          <w:b/>
          <w:sz w:val="20"/>
          <w:szCs w:val="20"/>
          <w:lang w:val="en-GB"/>
        </w:rPr>
        <w:t xml:space="preserve">: </w:t>
      </w:r>
      <w:r w:rsidRPr="00870078">
        <w:rPr>
          <w:rFonts w:ascii="Times New Roman" w:hAnsi="Times New Roman" w:cs="Times New Roman"/>
          <w:b/>
          <w:sz w:val="20"/>
          <w:szCs w:val="20"/>
          <w:lang w:val="en-GB"/>
        </w:rPr>
        <w:t>If ‘</w:t>
      </w:r>
      <w:r w:rsidRPr="00870078">
        <w:rPr>
          <w:rFonts w:ascii="Times New Roman" w:hAnsi="Times New Roman" w:cs="Times New Roman"/>
          <w:b/>
          <w:i/>
          <w:sz w:val="20"/>
          <w:szCs w:val="20"/>
          <w:lang w:val="en-GB"/>
        </w:rPr>
        <w:t>deriveSSB-IndexFromCell</w:t>
      </w:r>
      <w:r w:rsidRPr="00870078">
        <w:rPr>
          <w:rFonts w:ascii="Times New Roman" w:hAnsi="Times New Roman" w:cs="Times New Roman"/>
          <w:b/>
          <w:sz w:val="20"/>
          <w:szCs w:val="20"/>
          <w:lang w:val="en-GB"/>
        </w:rPr>
        <w:t>’ or ‘</w:t>
      </w:r>
      <w:r w:rsidRPr="00870078">
        <w:rPr>
          <w:rFonts w:ascii="Times New Roman" w:hAnsi="Times New Roman" w:cs="Times New Roman"/>
          <w:b/>
          <w:i/>
          <w:sz w:val="20"/>
          <w:szCs w:val="20"/>
          <w:lang w:val="en-GB"/>
        </w:rPr>
        <w:t>deriveSSB-IndexFromCellInter-r17</w:t>
      </w:r>
      <w:r w:rsidRPr="00870078">
        <w:rPr>
          <w:rFonts w:ascii="Times New Roman" w:hAnsi="Times New Roman" w:cs="Times New Roman"/>
          <w:b/>
          <w:sz w:val="20"/>
          <w:szCs w:val="20"/>
          <w:lang w:val="en-GB"/>
        </w:rPr>
        <w:t>’ is enabled,</w:t>
      </w:r>
      <w:r w:rsidR="006E3CA9">
        <w:rPr>
          <w:rFonts w:ascii="Times New Roman" w:hAnsi="Times New Roman" w:cs="Times New Roman"/>
          <w:b/>
          <w:sz w:val="20"/>
          <w:szCs w:val="20"/>
          <w:lang w:val="en-GB"/>
        </w:rPr>
        <w:t xml:space="preserve"> SFN level alignment is assumed,</w:t>
      </w:r>
      <w:r w:rsidRPr="00870078">
        <w:rPr>
          <w:rFonts w:ascii="Times New Roman" w:hAnsi="Times New Roman" w:cs="Times New Roman"/>
          <w:b/>
          <w:sz w:val="20"/>
          <w:szCs w:val="20"/>
          <w:lang w:val="en-GB"/>
        </w:rPr>
        <w:t xml:space="preserve"> </w:t>
      </w:r>
      <w:r w:rsidR="006E3CA9">
        <w:rPr>
          <w:rFonts w:ascii="Times New Roman" w:hAnsi="Times New Roman" w:cs="Times New Roman"/>
          <w:b/>
          <w:sz w:val="20"/>
          <w:szCs w:val="20"/>
          <w:lang w:val="en-GB"/>
        </w:rPr>
        <w:t>o</w:t>
      </w:r>
      <w:r w:rsidRPr="00870078">
        <w:rPr>
          <w:rFonts w:ascii="Times New Roman" w:hAnsi="Times New Roman" w:cs="Times New Roman"/>
          <w:b/>
          <w:sz w:val="20"/>
          <w:szCs w:val="20"/>
          <w:lang w:val="en-GB"/>
        </w:rPr>
        <w:t>therwise,</w:t>
      </w:r>
      <w:r w:rsidRPr="00870078">
        <w:t xml:space="preserve"> </w:t>
      </w:r>
      <w:r w:rsidRPr="00870078">
        <w:rPr>
          <w:rFonts w:ascii="Times New Roman" w:hAnsi="Times New Roman" w:cs="Times New Roman"/>
          <w:b/>
          <w:sz w:val="20"/>
          <w:szCs w:val="20"/>
          <w:lang w:val="en-GB"/>
        </w:rPr>
        <w:t>UE need</w:t>
      </w:r>
      <w:r>
        <w:rPr>
          <w:rFonts w:ascii="Times New Roman" w:hAnsi="Times New Roman" w:cs="Times New Roman"/>
          <w:b/>
          <w:sz w:val="20"/>
          <w:szCs w:val="20"/>
          <w:lang w:val="en-GB"/>
        </w:rPr>
        <w:t>s</w:t>
      </w:r>
      <w:r w:rsidRPr="00870078">
        <w:rPr>
          <w:rFonts w:ascii="Times New Roman" w:hAnsi="Times New Roman" w:cs="Times New Roman"/>
          <w:b/>
          <w:sz w:val="20"/>
          <w:szCs w:val="20"/>
          <w:lang w:val="en-GB"/>
        </w:rPr>
        <w:t xml:space="preserve"> to acquire target cell SFN by reading MIB</w:t>
      </w:r>
      <w:r>
        <w:rPr>
          <w:rFonts w:ascii="Times New Roman" w:hAnsi="Times New Roman" w:cs="Times New Roman"/>
          <w:b/>
          <w:sz w:val="20"/>
          <w:szCs w:val="20"/>
          <w:lang w:val="en-GB"/>
        </w:rPr>
        <w:t>, and the</w:t>
      </w:r>
      <w:r w:rsidRPr="00870078">
        <w:t xml:space="preserve"> </w:t>
      </w:r>
      <w:r w:rsidRPr="00870078">
        <w:rPr>
          <w:rFonts w:ascii="Times New Roman" w:hAnsi="Times New Roman" w:cs="Times New Roman"/>
          <w:b/>
          <w:sz w:val="20"/>
          <w:szCs w:val="20"/>
          <w:lang w:val="en-GB"/>
        </w:rPr>
        <w:t xml:space="preserve">legacy delay requirement of SFN acquisition defined in </w:t>
      </w:r>
      <w:r w:rsidRPr="00870078">
        <w:rPr>
          <w:rFonts w:ascii="Times New Roman" w:hAnsi="Times New Roman" w:cs="Times New Roman"/>
          <w:b/>
          <w:sz w:val="20"/>
          <w:szCs w:val="20"/>
        </w:rPr>
        <w:t>table 9.10.2.5-3 or Table 9.10.3.5-3 or T</w:t>
      </w:r>
      <w:r w:rsidRPr="00870078">
        <w:rPr>
          <w:rFonts w:ascii="Times New Roman" w:hAnsi="Times New Roman" w:cs="Times New Roman"/>
          <w:b/>
          <w:sz w:val="20"/>
          <w:szCs w:val="20"/>
          <w:vertAlign w:val="subscript"/>
        </w:rPr>
        <w:t>SSB_time_index_inter</w:t>
      </w:r>
      <w:r w:rsidRPr="00870078">
        <w:rPr>
          <w:rFonts w:ascii="Times New Roman" w:hAnsi="Times New Roman" w:cs="Times New Roman"/>
          <w:b/>
          <w:sz w:val="20"/>
          <w:szCs w:val="20"/>
        </w:rPr>
        <w:t xml:space="preserve"> in Clause 9.3.4 applies</w:t>
      </w:r>
      <w:r w:rsidRPr="00870078">
        <w:rPr>
          <w:rFonts w:ascii="Times New Roman" w:hAnsi="Times New Roman" w:cs="Times New Roman"/>
          <w:b/>
          <w:sz w:val="20"/>
          <w:szCs w:val="20"/>
          <w:lang w:val="en-GB"/>
        </w:rPr>
        <w:t>.</w:t>
      </w:r>
    </w:p>
    <w:tbl>
      <w:tblPr>
        <w:tblW w:w="835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57"/>
      </w:tblGrid>
      <w:tr w:rsidR="00695FD9" w:rsidTr="00695FD9">
        <w:trPr>
          <w:trHeight w:val="592"/>
        </w:trPr>
        <w:tc>
          <w:tcPr>
            <w:tcW w:w="8357" w:type="dxa"/>
          </w:tcPr>
          <w:p w:rsidR="00695FD9" w:rsidRPr="00695FD9" w:rsidRDefault="00695FD9" w:rsidP="00695FD9">
            <w:pPr>
              <w:rPr>
                <w:rFonts w:ascii="Times New Roman" w:hAnsi="Times New Roman" w:cs="Times New Roman"/>
                <w:sz w:val="20"/>
                <w:szCs w:val="20"/>
                <w:highlight w:val="green"/>
              </w:rPr>
            </w:pPr>
            <w:r>
              <w:rPr>
                <w:rFonts w:ascii="Times New Roman" w:hAnsi="Times New Roman" w:cs="Times New Roman"/>
                <w:b/>
                <w:bCs/>
                <w:sz w:val="20"/>
                <w:szCs w:val="20"/>
                <w:highlight w:val="green"/>
              </w:rPr>
              <w:t xml:space="preserve">RAN1 </w:t>
            </w:r>
            <w:r w:rsidRPr="00695FD9">
              <w:rPr>
                <w:rFonts w:ascii="Times New Roman" w:hAnsi="Times New Roman" w:cs="Times New Roman"/>
                <w:b/>
                <w:bCs/>
                <w:sz w:val="20"/>
                <w:szCs w:val="20"/>
                <w:highlight w:val="green"/>
              </w:rPr>
              <w:t>Agreement</w:t>
            </w:r>
          </w:p>
          <w:p w:rsidR="00695FD9" w:rsidRPr="0002581A" w:rsidRDefault="0002581A" w:rsidP="00695FD9">
            <w:pPr>
              <w:pStyle w:val="a7"/>
              <w:numPr>
                <w:ilvl w:val="0"/>
                <w:numId w:val="26"/>
              </w:numPr>
              <w:snapToGrid w:val="0"/>
              <w:contextualSpacing w:val="0"/>
              <w:jc w:val="both"/>
              <w:rPr>
                <w:rFonts w:ascii="Arial" w:eastAsia="Batang" w:hAnsi="Arial" w:cs="Arial"/>
                <w:sz w:val="20"/>
              </w:rPr>
            </w:pPr>
            <w:r w:rsidRPr="000D5777">
              <w:rPr>
                <w:rFonts w:ascii="Arial" w:hAnsi="Arial" w:cs="Arial"/>
                <w:sz w:val="20"/>
              </w:rPr>
              <w:t>TCI state activation by MAC CE before cell switch command for one or more than one candidate cells is allowed</w:t>
            </w:r>
          </w:p>
        </w:tc>
      </w:tr>
    </w:tbl>
    <w:p w:rsidR="009E43EE" w:rsidRPr="006330FF" w:rsidRDefault="00D41B9B" w:rsidP="0051229C">
      <w:pPr>
        <w:rPr>
          <w:rFonts w:ascii="Times New Roman" w:hAnsi="Times New Roman" w:cs="Times New Roman"/>
          <w:b/>
          <w:sz w:val="20"/>
          <w:szCs w:val="20"/>
          <w:lang w:val="en-GB"/>
        </w:rPr>
      </w:pPr>
      <w:r>
        <w:rPr>
          <w:rFonts w:ascii="Times New Roman" w:hAnsi="Times New Roman" w:cs="Times New Roman"/>
          <w:sz w:val="20"/>
          <w:szCs w:val="20"/>
          <w:lang w:val="en-GB"/>
        </w:rPr>
        <w:t xml:space="preserve">RAN1 has agreed to support TCI state activation </w:t>
      </w:r>
      <w:r w:rsidR="0002581A">
        <w:rPr>
          <w:rFonts w:ascii="Times New Roman" w:hAnsi="Times New Roman" w:cs="Times New Roman" w:hint="eastAsia"/>
          <w:sz w:val="20"/>
          <w:szCs w:val="20"/>
          <w:lang w:val="en-GB"/>
        </w:rPr>
        <w:t>on</w:t>
      </w:r>
      <w:r w:rsidR="0002581A">
        <w:rPr>
          <w:rFonts w:ascii="Times New Roman" w:hAnsi="Times New Roman" w:cs="Times New Roman"/>
          <w:sz w:val="20"/>
          <w:szCs w:val="20"/>
          <w:lang w:val="en-GB"/>
        </w:rPr>
        <w:t xml:space="preserve"> one or more than one</w:t>
      </w:r>
      <w:r>
        <w:rPr>
          <w:rFonts w:ascii="Times New Roman" w:hAnsi="Times New Roman" w:cs="Times New Roman"/>
          <w:sz w:val="20"/>
          <w:szCs w:val="20"/>
          <w:lang w:val="en-GB"/>
        </w:rPr>
        <w:t xml:space="preserve"> candidate cell</w:t>
      </w:r>
      <w:r w:rsidR="0002581A">
        <w:rPr>
          <w:rFonts w:ascii="Times New Roman" w:hAnsi="Times New Roman" w:cs="Times New Roman"/>
          <w:sz w:val="20"/>
          <w:szCs w:val="20"/>
          <w:lang w:val="en-GB"/>
        </w:rPr>
        <w:t>s</w:t>
      </w:r>
      <w:r>
        <w:rPr>
          <w:rFonts w:ascii="Times New Roman" w:hAnsi="Times New Roman" w:cs="Times New Roman"/>
          <w:sz w:val="20"/>
          <w:szCs w:val="20"/>
          <w:lang w:val="en-GB"/>
        </w:rPr>
        <w:t xml:space="preserve"> before the reception of cell switch command. </w:t>
      </w:r>
      <w:r w:rsidR="00130412">
        <w:rPr>
          <w:rFonts w:ascii="Times New Roman" w:hAnsi="Times New Roman" w:cs="Times New Roman"/>
          <w:sz w:val="20"/>
          <w:szCs w:val="20"/>
          <w:lang w:val="en-GB"/>
        </w:rPr>
        <w:t>T</w:t>
      </w:r>
      <w:r w:rsidR="00695FD9">
        <w:rPr>
          <w:rFonts w:ascii="Times New Roman" w:hAnsi="Times New Roman" w:cs="Times New Roman"/>
          <w:sz w:val="20"/>
          <w:szCs w:val="20"/>
          <w:lang w:val="en-GB"/>
        </w:rPr>
        <w:t xml:space="preserve">he motivation of activating TCI state </w:t>
      </w:r>
      <w:r w:rsidR="00242096">
        <w:rPr>
          <w:rFonts w:ascii="Times New Roman" w:hAnsi="Times New Roman" w:cs="Times New Roman"/>
          <w:sz w:val="20"/>
          <w:szCs w:val="20"/>
          <w:lang w:val="en-GB"/>
        </w:rPr>
        <w:t xml:space="preserve">for a candidate cell is to skip fine T/F time tracking during cell switch procedure and the UE can receive PDSCH/PDCCH after cell switch without TCI state activation. </w:t>
      </w:r>
      <w:r>
        <w:rPr>
          <w:rFonts w:ascii="Times New Roman" w:hAnsi="Times New Roman" w:cs="Times New Roman"/>
          <w:sz w:val="20"/>
          <w:szCs w:val="20"/>
          <w:lang w:val="en-GB"/>
        </w:rPr>
        <w:t xml:space="preserve">From RAN4 perspective, </w:t>
      </w:r>
      <w:r w:rsidR="00130412">
        <w:rPr>
          <w:rFonts w:ascii="Times New Roman" w:hAnsi="Times New Roman" w:cs="Times New Roman"/>
          <w:sz w:val="20"/>
          <w:szCs w:val="20"/>
          <w:lang w:val="en-GB"/>
        </w:rPr>
        <w:t>the RRM impact due to TCI state activation and T/F fine tracking on candidate cell(s).</w:t>
      </w:r>
      <w:r w:rsidR="00E63A81">
        <w:rPr>
          <w:rFonts w:ascii="Times New Roman" w:hAnsi="Times New Roman" w:cs="Times New Roman"/>
          <w:sz w:val="20"/>
          <w:szCs w:val="20"/>
          <w:lang w:val="en-GB"/>
        </w:rPr>
        <w:t xml:space="preserve"> </w:t>
      </w:r>
      <w:r w:rsidR="00C91866">
        <w:rPr>
          <w:rFonts w:ascii="Times New Roman" w:hAnsi="Times New Roman" w:cs="Times New Roman"/>
          <w:sz w:val="20"/>
          <w:szCs w:val="20"/>
          <w:lang w:val="en-GB"/>
        </w:rPr>
        <w:t xml:space="preserve">According to RAN1 agreements, </w:t>
      </w:r>
      <w:r w:rsidR="006B73D4">
        <w:rPr>
          <w:rFonts w:ascii="Times New Roman" w:hAnsi="Times New Roman" w:cs="Times New Roman"/>
          <w:sz w:val="20"/>
          <w:szCs w:val="20"/>
          <w:lang w:val="en-GB"/>
        </w:rPr>
        <w:t xml:space="preserve">the UE is required to report SSB based L1 measurement report across L cells from configured cells, i.e. M beams for each of the L cells. However, if the UE is configured to activate TCI state on L candidate cells, </w:t>
      </w:r>
      <w:r w:rsidR="00E63A81">
        <w:rPr>
          <w:rFonts w:ascii="Times New Roman" w:hAnsi="Times New Roman" w:cs="Times New Roman"/>
          <w:sz w:val="20"/>
          <w:szCs w:val="20"/>
          <w:lang w:val="en-GB"/>
        </w:rPr>
        <w:t xml:space="preserve">the UE may not be able </w:t>
      </w:r>
      <w:r w:rsidR="00F5529E">
        <w:rPr>
          <w:rFonts w:ascii="Times New Roman" w:hAnsi="Times New Roman" w:cs="Times New Roman"/>
          <w:sz w:val="20"/>
          <w:szCs w:val="20"/>
          <w:lang w:val="en-GB"/>
        </w:rPr>
        <w:t xml:space="preserve">to monitor T/F fine time tracking </w:t>
      </w:r>
      <w:r w:rsidR="006B73D4">
        <w:rPr>
          <w:rFonts w:ascii="Times New Roman" w:hAnsi="Times New Roman" w:cs="Times New Roman"/>
          <w:sz w:val="20"/>
          <w:szCs w:val="20"/>
          <w:lang w:val="en-GB"/>
        </w:rPr>
        <w:t>on</w:t>
      </w:r>
      <w:r w:rsidR="00F5529E">
        <w:rPr>
          <w:rFonts w:ascii="Times New Roman" w:hAnsi="Times New Roman" w:cs="Times New Roman"/>
          <w:sz w:val="20"/>
          <w:szCs w:val="20"/>
          <w:lang w:val="en-GB"/>
        </w:rPr>
        <w:t xml:space="preserve"> the </w:t>
      </w:r>
      <w:r w:rsidR="006B73D4">
        <w:rPr>
          <w:rFonts w:ascii="Times New Roman" w:hAnsi="Times New Roman" w:cs="Times New Roman"/>
          <w:sz w:val="20"/>
          <w:szCs w:val="20"/>
          <w:lang w:val="en-GB"/>
        </w:rPr>
        <w:t>L</w:t>
      </w:r>
      <w:r w:rsidR="00F5529E">
        <w:rPr>
          <w:rFonts w:ascii="Times New Roman" w:hAnsi="Times New Roman" w:cs="Times New Roman"/>
          <w:sz w:val="20"/>
          <w:szCs w:val="20"/>
          <w:lang w:val="en-GB"/>
        </w:rPr>
        <w:t xml:space="preserve"> candidate cells</w:t>
      </w:r>
      <w:r w:rsidR="006B73D4">
        <w:rPr>
          <w:rFonts w:ascii="Times New Roman" w:hAnsi="Times New Roman" w:cs="Times New Roman"/>
          <w:sz w:val="20"/>
          <w:szCs w:val="20"/>
          <w:lang w:val="en-GB"/>
        </w:rPr>
        <w:t>, as from RAN4 requirement perspective, the UE is request to perform T/F fine tracking on candidate at least 160ms</w:t>
      </w:r>
      <w:r w:rsidR="00F5529E">
        <w:rPr>
          <w:rFonts w:ascii="Times New Roman" w:hAnsi="Times New Roman" w:cs="Times New Roman"/>
          <w:sz w:val="20"/>
          <w:szCs w:val="20"/>
          <w:lang w:val="en-GB"/>
        </w:rPr>
        <w:t xml:space="preserve">. </w:t>
      </w:r>
      <w:r w:rsidR="000324CA">
        <w:rPr>
          <w:rFonts w:ascii="Times New Roman" w:hAnsi="Times New Roman" w:cs="Times New Roman"/>
          <w:sz w:val="20"/>
          <w:szCs w:val="20"/>
          <w:lang w:val="en-GB"/>
        </w:rPr>
        <w:t xml:space="preserve">In addition to the UE capability on SSB based L1-RSRP measurement report defined in RAN1, </w:t>
      </w:r>
      <w:r w:rsidR="00C22270">
        <w:rPr>
          <w:rFonts w:ascii="Times New Roman" w:hAnsi="Times New Roman" w:cs="Times New Roman"/>
          <w:sz w:val="20"/>
          <w:szCs w:val="20"/>
          <w:lang w:val="en-GB"/>
        </w:rPr>
        <w:t xml:space="preserve">if UE </w:t>
      </w:r>
      <w:r w:rsidR="00C22270">
        <w:rPr>
          <w:rFonts w:ascii="Times New Roman" w:hAnsi="Times New Roman" w:cs="Times New Roman" w:hint="eastAsia"/>
          <w:sz w:val="20"/>
          <w:szCs w:val="20"/>
          <w:lang w:val="en-GB"/>
        </w:rPr>
        <w:t>is</w:t>
      </w:r>
      <w:r w:rsidR="00C22270">
        <w:rPr>
          <w:rFonts w:ascii="Times New Roman" w:hAnsi="Times New Roman" w:cs="Times New Roman"/>
          <w:sz w:val="20"/>
          <w:szCs w:val="20"/>
          <w:lang w:val="en-GB"/>
        </w:rPr>
        <w:t xml:space="preserve"> configured to perform active TCI state activation on more than one candidate cells, </w:t>
      </w:r>
      <w:r w:rsidR="000324CA">
        <w:rPr>
          <w:rFonts w:ascii="Times New Roman" w:hAnsi="Times New Roman" w:cs="Times New Roman"/>
          <w:sz w:val="20"/>
          <w:szCs w:val="20"/>
          <w:lang w:val="en-GB"/>
        </w:rPr>
        <w:t>RAN4 also needs to define a new</w:t>
      </w:r>
      <w:r w:rsidR="00F5529E">
        <w:rPr>
          <w:rFonts w:ascii="Times New Roman" w:hAnsi="Times New Roman" w:cs="Times New Roman"/>
          <w:sz w:val="20"/>
          <w:szCs w:val="20"/>
          <w:lang w:val="en-GB"/>
        </w:rPr>
        <w:t xml:space="preserve"> UE capability on </w:t>
      </w:r>
      <w:r w:rsidR="00C22270">
        <w:rPr>
          <w:rFonts w:ascii="Times New Roman" w:hAnsi="Times New Roman" w:cs="Times New Roman"/>
          <w:sz w:val="20"/>
          <w:szCs w:val="20"/>
          <w:lang w:val="en-GB"/>
        </w:rPr>
        <w:t>active TCI state activation</w:t>
      </w:r>
      <w:r w:rsidR="00F5529E">
        <w:rPr>
          <w:rFonts w:ascii="Times New Roman" w:hAnsi="Times New Roman" w:cs="Times New Roman"/>
          <w:sz w:val="20"/>
          <w:szCs w:val="20"/>
          <w:lang w:val="en-GB"/>
        </w:rPr>
        <w:t xml:space="preserve"> </w:t>
      </w:r>
      <w:r w:rsidR="00C22270">
        <w:rPr>
          <w:rFonts w:ascii="Times New Roman" w:hAnsi="Times New Roman" w:cs="Times New Roman"/>
          <w:sz w:val="20"/>
          <w:szCs w:val="20"/>
          <w:lang w:val="en-GB"/>
        </w:rPr>
        <w:t xml:space="preserve">on </w:t>
      </w:r>
      <w:r w:rsidR="00F5529E">
        <w:rPr>
          <w:rFonts w:ascii="Times New Roman" w:hAnsi="Times New Roman" w:cs="Times New Roman"/>
          <w:sz w:val="20"/>
          <w:szCs w:val="20"/>
          <w:lang w:val="en-GB"/>
        </w:rPr>
        <w:t xml:space="preserve">candidate cells. </w:t>
      </w:r>
    </w:p>
    <w:p w:rsidR="000324CA" w:rsidRDefault="000324CA" w:rsidP="000324CA">
      <w:pPr>
        <w:spacing w:after="240"/>
        <w:rPr>
          <w:rFonts w:ascii="Times New Roman" w:hAnsi="Times New Roman" w:cs="Times New Roman"/>
          <w:b/>
          <w:sz w:val="20"/>
          <w:szCs w:val="20"/>
          <w:lang w:val="en-GB"/>
        </w:rPr>
      </w:pPr>
      <w:r>
        <w:rPr>
          <w:rFonts w:ascii="Times New Roman" w:hAnsi="Times New Roman" w:cs="Times New Roman"/>
          <w:b/>
          <w:sz w:val="20"/>
          <w:szCs w:val="20"/>
          <w:lang w:val="en-GB"/>
        </w:rPr>
        <w:t xml:space="preserve">Proposal </w:t>
      </w:r>
      <w:r w:rsidR="0002581A">
        <w:rPr>
          <w:rFonts w:ascii="Times New Roman" w:hAnsi="Times New Roman" w:cs="Times New Roman"/>
          <w:b/>
          <w:sz w:val="20"/>
          <w:szCs w:val="20"/>
          <w:lang w:val="en-GB"/>
        </w:rPr>
        <w:t>2</w:t>
      </w:r>
      <w:r w:rsidRPr="00200837">
        <w:rPr>
          <w:rFonts w:ascii="Times New Roman" w:hAnsi="Times New Roman" w:cs="Times New Roman"/>
          <w:b/>
          <w:sz w:val="20"/>
          <w:szCs w:val="20"/>
          <w:lang w:val="en-GB"/>
        </w:rPr>
        <w:t xml:space="preserve">: </w:t>
      </w:r>
      <w:r w:rsidRPr="000324CA">
        <w:rPr>
          <w:rFonts w:ascii="Times New Roman" w:hAnsi="Times New Roman" w:cs="Times New Roman"/>
          <w:b/>
          <w:sz w:val="20"/>
          <w:szCs w:val="20"/>
          <w:lang w:val="en-GB"/>
        </w:rPr>
        <w:t xml:space="preserve">RAN4 </w:t>
      </w:r>
      <w:r>
        <w:rPr>
          <w:rFonts w:ascii="Times New Roman" w:hAnsi="Times New Roman" w:cs="Times New Roman"/>
          <w:b/>
          <w:sz w:val="20"/>
          <w:szCs w:val="20"/>
          <w:lang w:val="en-GB"/>
        </w:rPr>
        <w:t>to</w:t>
      </w:r>
      <w:r w:rsidRPr="000324CA">
        <w:rPr>
          <w:rFonts w:ascii="Times New Roman" w:hAnsi="Times New Roman" w:cs="Times New Roman"/>
          <w:b/>
          <w:sz w:val="20"/>
          <w:szCs w:val="20"/>
          <w:lang w:val="en-GB"/>
        </w:rPr>
        <w:t xml:space="preserve"> define a new UE capability </w:t>
      </w:r>
      <w:r>
        <w:rPr>
          <w:rFonts w:ascii="Times New Roman" w:hAnsi="Times New Roman" w:cs="Times New Roman"/>
          <w:b/>
          <w:sz w:val="20"/>
          <w:szCs w:val="20"/>
          <w:lang w:val="en-GB"/>
        </w:rPr>
        <w:t xml:space="preserve">to support </w:t>
      </w:r>
      <w:r w:rsidR="00C22270">
        <w:rPr>
          <w:rFonts w:ascii="Times New Roman" w:hAnsi="Times New Roman" w:cs="Times New Roman"/>
          <w:b/>
          <w:sz w:val="20"/>
          <w:szCs w:val="20"/>
          <w:lang w:val="en-GB"/>
        </w:rPr>
        <w:t>TCI state activation</w:t>
      </w:r>
      <w:r>
        <w:rPr>
          <w:rFonts w:ascii="Times New Roman" w:hAnsi="Times New Roman" w:cs="Times New Roman"/>
          <w:b/>
          <w:sz w:val="20"/>
          <w:szCs w:val="20"/>
          <w:lang w:val="en-GB"/>
        </w:rPr>
        <w:t xml:space="preserve"> on </w:t>
      </w:r>
      <w:r w:rsidR="00C22270">
        <w:rPr>
          <w:rFonts w:ascii="Times New Roman" w:hAnsi="Times New Roman" w:cs="Times New Roman"/>
          <w:b/>
          <w:sz w:val="20"/>
          <w:szCs w:val="20"/>
          <w:lang w:val="en-GB"/>
        </w:rPr>
        <w:t>more than one</w:t>
      </w:r>
      <w:r>
        <w:rPr>
          <w:rFonts w:ascii="Times New Roman" w:hAnsi="Times New Roman" w:cs="Times New Roman"/>
          <w:b/>
          <w:sz w:val="20"/>
          <w:szCs w:val="20"/>
          <w:lang w:val="en-GB"/>
        </w:rPr>
        <w:t xml:space="preserve"> candidate cells</w:t>
      </w:r>
      <w:r w:rsidRPr="00870078">
        <w:rPr>
          <w:rFonts w:ascii="Times New Roman" w:hAnsi="Times New Roman" w:cs="Times New Roman"/>
          <w:b/>
          <w:sz w:val="20"/>
          <w:szCs w:val="20"/>
          <w:lang w:val="en-GB"/>
        </w:rPr>
        <w:t>.</w:t>
      </w:r>
    </w:p>
    <w:p w:rsidR="00347843" w:rsidRPr="008B01A1" w:rsidRDefault="000F02B6" w:rsidP="008B01A1">
      <w:pPr>
        <w:spacing w:after="180"/>
        <w:rPr>
          <w:rFonts w:ascii="Times New Roman" w:hAnsi="Times New Roman" w:cs="Times New Roman"/>
          <w:b/>
          <w:sz w:val="20"/>
          <w:szCs w:val="20"/>
          <w:u w:val="single"/>
        </w:rPr>
      </w:pPr>
      <w:r>
        <w:rPr>
          <w:rFonts w:ascii="Times New Roman" w:hAnsi="Times New Roman" w:cs="Times New Roman"/>
          <w:b/>
          <w:sz w:val="20"/>
          <w:szCs w:val="20"/>
          <w:u w:val="single"/>
        </w:rPr>
        <w:t>Interruption requirement</w:t>
      </w:r>
    </w:p>
    <w:tbl>
      <w:tblPr>
        <w:tblW w:w="8458"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58"/>
      </w:tblGrid>
      <w:tr w:rsidR="001011CC" w:rsidTr="001011CC">
        <w:trPr>
          <w:trHeight w:val="893"/>
        </w:trPr>
        <w:tc>
          <w:tcPr>
            <w:tcW w:w="8458" w:type="dxa"/>
          </w:tcPr>
          <w:p w:rsidR="000F02B6" w:rsidRPr="000F02B6" w:rsidRDefault="000F02B6" w:rsidP="000F02B6">
            <w:pPr>
              <w:rPr>
                <w:rFonts w:ascii="Times New Roman" w:hAnsi="Times New Roman" w:cs="Times New Roman"/>
                <w:b/>
                <w:sz w:val="20"/>
                <w:szCs w:val="20"/>
                <w:u w:val="single"/>
              </w:rPr>
            </w:pPr>
            <w:r w:rsidRPr="000F02B6">
              <w:rPr>
                <w:rFonts w:ascii="Times New Roman" w:hAnsi="Times New Roman" w:cs="Times New Roman"/>
                <w:b/>
                <w:sz w:val="20"/>
                <w:szCs w:val="20"/>
                <w:u w:val="single"/>
              </w:rPr>
              <w:t xml:space="preserve">Issue 1-2-3-1: Interruption due to RF/BB retuning to </w:t>
            </w:r>
            <w:r w:rsidRPr="000F02B6">
              <w:rPr>
                <w:rFonts w:ascii="Times New Roman" w:hAnsi="Times New Roman" w:cs="Times New Roman"/>
                <w:b/>
                <w:sz w:val="20"/>
                <w:szCs w:val="20"/>
                <w:highlight w:val="yellow"/>
                <w:u w:val="single"/>
              </w:rPr>
              <w:t>neighbor</w:t>
            </w:r>
            <w:r w:rsidRPr="000F02B6">
              <w:rPr>
                <w:rFonts w:ascii="Times New Roman" w:hAnsi="Times New Roman" w:cs="Times New Roman"/>
                <w:b/>
                <w:sz w:val="20"/>
                <w:szCs w:val="20"/>
                <w:u w:val="single"/>
              </w:rPr>
              <w:t xml:space="preserve"> cell </w:t>
            </w:r>
            <w:r w:rsidRPr="000F02B6">
              <w:rPr>
                <w:rFonts w:ascii="Times New Roman" w:hAnsi="Times New Roman" w:cs="Times New Roman"/>
                <w:b/>
                <w:sz w:val="20"/>
                <w:szCs w:val="20"/>
                <w:highlight w:val="yellow"/>
                <w:u w:val="single"/>
              </w:rPr>
              <w:t>before</w:t>
            </w:r>
            <w:r w:rsidRPr="000F02B6">
              <w:rPr>
                <w:rFonts w:ascii="Times New Roman" w:hAnsi="Times New Roman" w:cs="Times New Roman"/>
                <w:b/>
                <w:sz w:val="20"/>
                <w:szCs w:val="20"/>
                <w:u w:val="single"/>
              </w:rPr>
              <w:t xml:space="preserve"> RACH transmission</w:t>
            </w:r>
          </w:p>
          <w:p w:rsidR="000F02B6" w:rsidRPr="000F02B6" w:rsidRDefault="000F02B6" w:rsidP="000F02B6">
            <w:pPr>
              <w:rPr>
                <w:rFonts w:ascii="Times New Roman" w:eastAsia="宋体" w:hAnsi="Times New Roman" w:cs="Times New Roman"/>
                <w:sz w:val="20"/>
                <w:szCs w:val="20"/>
              </w:rPr>
            </w:pPr>
            <w:r w:rsidRPr="000F02B6">
              <w:rPr>
                <w:rFonts w:ascii="Times New Roman" w:hAnsi="Times New Roman" w:cs="Times New Roman"/>
                <w:b/>
                <w:sz w:val="20"/>
                <w:szCs w:val="20"/>
              </w:rPr>
              <w:t xml:space="preserve">&lt;Way Forward&gt; </w:t>
            </w:r>
            <w:r w:rsidRPr="000F02B6">
              <w:rPr>
                <w:rFonts w:ascii="Times New Roman" w:hAnsi="Times New Roman" w:cs="Times New Roman"/>
                <w:bCs/>
                <w:sz w:val="20"/>
                <w:szCs w:val="20"/>
              </w:rPr>
              <w:t>FFS the following options:</w:t>
            </w:r>
          </w:p>
          <w:p w:rsidR="000F02B6" w:rsidRPr="000F02B6" w:rsidRDefault="000F02B6" w:rsidP="000F02B6">
            <w:pPr>
              <w:pStyle w:val="a7"/>
              <w:numPr>
                <w:ilvl w:val="1"/>
                <w:numId w:val="4"/>
              </w:numPr>
              <w:ind w:left="1440"/>
              <w:contextualSpacing w:val="0"/>
              <w:rPr>
                <w:sz w:val="20"/>
                <w:szCs w:val="20"/>
                <w:lang w:eastAsia="zh-CN"/>
              </w:rPr>
            </w:pPr>
            <w:r w:rsidRPr="000F02B6">
              <w:rPr>
                <w:sz w:val="20"/>
                <w:szCs w:val="20"/>
                <w:lang w:eastAsia="zh-CN"/>
              </w:rPr>
              <w:t xml:space="preserve">Option 1 (MTK): </w:t>
            </w:r>
          </w:p>
          <w:p w:rsidR="000F02B6" w:rsidRPr="000F02B6" w:rsidRDefault="000F02B6" w:rsidP="000F02B6">
            <w:pPr>
              <w:pStyle w:val="a7"/>
              <w:numPr>
                <w:ilvl w:val="2"/>
                <w:numId w:val="4"/>
              </w:numPr>
              <w:contextualSpacing w:val="0"/>
              <w:rPr>
                <w:sz w:val="20"/>
                <w:szCs w:val="20"/>
                <w:lang w:eastAsia="zh-CN"/>
              </w:rPr>
            </w:pPr>
            <w:r w:rsidRPr="000F02B6">
              <w:rPr>
                <w:sz w:val="20"/>
                <w:szCs w:val="20"/>
                <w:lang w:eastAsia="zh-CN"/>
              </w:rPr>
              <w:t>If RACH occasion of neighbor cell is not in the active BWP</w:t>
            </w:r>
          </w:p>
          <w:p w:rsidR="000F02B6" w:rsidRPr="000F02B6" w:rsidRDefault="000F02B6" w:rsidP="000F02B6">
            <w:pPr>
              <w:pStyle w:val="a7"/>
              <w:numPr>
                <w:ilvl w:val="3"/>
                <w:numId w:val="4"/>
              </w:numPr>
              <w:contextualSpacing w:val="0"/>
              <w:rPr>
                <w:sz w:val="20"/>
                <w:szCs w:val="20"/>
                <w:lang w:eastAsia="zh-CN"/>
              </w:rPr>
            </w:pPr>
            <w:r w:rsidRPr="000F02B6">
              <w:rPr>
                <w:sz w:val="20"/>
                <w:szCs w:val="20"/>
                <w:lang w:eastAsia="zh-CN"/>
              </w:rPr>
              <w:t>Retuning to neighbor cell before RACH transmission would cause 1ms+ 1 slot interruption on both UL and DL of all the serving cell(s).</w:t>
            </w:r>
          </w:p>
          <w:p w:rsidR="000F02B6" w:rsidRPr="000F02B6" w:rsidRDefault="000F02B6" w:rsidP="000F02B6">
            <w:pPr>
              <w:pStyle w:val="a7"/>
              <w:numPr>
                <w:ilvl w:val="2"/>
                <w:numId w:val="4"/>
              </w:numPr>
              <w:contextualSpacing w:val="0"/>
              <w:rPr>
                <w:sz w:val="20"/>
                <w:szCs w:val="20"/>
                <w:lang w:eastAsia="zh-CN"/>
              </w:rPr>
            </w:pPr>
            <w:r w:rsidRPr="000F02B6">
              <w:rPr>
                <w:sz w:val="20"/>
                <w:szCs w:val="20"/>
                <w:lang w:eastAsia="zh-CN"/>
              </w:rPr>
              <w:t>If RACH occasion of neighbor cell is in the active BWP</w:t>
            </w:r>
          </w:p>
          <w:p w:rsidR="000F02B6" w:rsidRPr="000F02B6" w:rsidRDefault="000F02B6" w:rsidP="000F02B6">
            <w:pPr>
              <w:pStyle w:val="a7"/>
              <w:numPr>
                <w:ilvl w:val="3"/>
                <w:numId w:val="4"/>
              </w:numPr>
              <w:contextualSpacing w:val="0"/>
              <w:rPr>
                <w:sz w:val="20"/>
                <w:szCs w:val="20"/>
                <w:lang w:eastAsia="zh-CN"/>
              </w:rPr>
            </w:pPr>
            <w:r w:rsidRPr="000F02B6">
              <w:rPr>
                <w:sz w:val="20"/>
                <w:szCs w:val="20"/>
                <w:lang w:eastAsia="zh-CN"/>
              </w:rPr>
              <w:t>one more slot interruption (due to uncertainty of RTD between cells) on top of the legacy N symbols (defined in 38.213 for PDCCH-order RACH on serving cell) is necessary.</w:t>
            </w:r>
          </w:p>
          <w:p w:rsidR="000F02B6" w:rsidRPr="000F02B6" w:rsidRDefault="000F02B6" w:rsidP="000F02B6">
            <w:pPr>
              <w:pStyle w:val="a7"/>
              <w:numPr>
                <w:ilvl w:val="1"/>
                <w:numId w:val="4"/>
              </w:numPr>
              <w:ind w:left="1440"/>
              <w:contextualSpacing w:val="0"/>
              <w:rPr>
                <w:sz w:val="20"/>
                <w:szCs w:val="20"/>
                <w:lang w:eastAsia="zh-CN"/>
              </w:rPr>
            </w:pPr>
            <w:r w:rsidRPr="000F02B6">
              <w:rPr>
                <w:sz w:val="20"/>
                <w:szCs w:val="20"/>
                <w:lang w:eastAsia="zh-CN"/>
              </w:rPr>
              <w:t>Option 2 (QC): Introduce new UE capability</w:t>
            </w:r>
          </w:p>
          <w:p w:rsidR="000F02B6" w:rsidRPr="000F02B6" w:rsidRDefault="000F02B6" w:rsidP="000F02B6">
            <w:pPr>
              <w:pStyle w:val="a7"/>
              <w:numPr>
                <w:ilvl w:val="2"/>
                <w:numId w:val="4"/>
              </w:numPr>
              <w:contextualSpacing w:val="0"/>
              <w:rPr>
                <w:sz w:val="20"/>
                <w:szCs w:val="20"/>
                <w:lang w:eastAsia="zh-CN"/>
              </w:rPr>
            </w:pPr>
            <w:r w:rsidRPr="000F02B6">
              <w:rPr>
                <w:sz w:val="20"/>
                <w:szCs w:val="20"/>
                <w:lang w:eastAsia="zh-CN"/>
              </w:rPr>
              <w:t>Direction: whether the interruption is only UL or both DL and UL if the victim cell is inter-band with LTM PRACH cell</w:t>
            </w:r>
          </w:p>
          <w:p w:rsidR="000F02B6" w:rsidRPr="000F02B6" w:rsidRDefault="000F02B6" w:rsidP="000F02B6">
            <w:pPr>
              <w:pStyle w:val="a7"/>
              <w:numPr>
                <w:ilvl w:val="2"/>
                <w:numId w:val="4"/>
              </w:numPr>
              <w:contextualSpacing w:val="0"/>
              <w:rPr>
                <w:sz w:val="20"/>
                <w:szCs w:val="20"/>
                <w:lang w:eastAsia="zh-CN"/>
              </w:rPr>
            </w:pPr>
            <w:r w:rsidRPr="000F02B6">
              <w:rPr>
                <w:sz w:val="20"/>
                <w:szCs w:val="20"/>
                <w:lang w:eastAsia="zh-CN"/>
              </w:rPr>
              <w:t>Band: whether the interruption is confined within the same band (intra-band) or across-bands</w:t>
            </w:r>
          </w:p>
          <w:p w:rsidR="000F02B6" w:rsidRPr="000F02B6" w:rsidRDefault="000F02B6" w:rsidP="000F02B6">
            <w:pPr>
              <w:pStyle w:val="a7"/>
              <w:numPr>
                <w:ilvl w:val="2"/>
                <w:numId w:val="4"/>
              </w:numPr>
              <w:contextualSpacing w:val="0"/>
              <w:rPr>
                <w:sz w:val="20"/>
                <w:szCs w:val="20"/>
                <w:lang w:eastAsia="zh-CN"/>
              </w:rPr>
            </w:pPr>
            <w:r w:rsidRPr="000F02B6">
              <w:rPr>
                <w:sz w:val="20"/>
                <w:szCs w:val="20"/>
                <w:lang w:eastAsia="zh-CN"/>
              </w:rPr>
              <w:t>Length: per-LTM PRACH cell</w:t>
            </w:r>
          </w:p>
          <w:p w:rsidR="000F02B6" w:rsidRPr="000F02B6" w:rsidRDefault="000F02B6" w:rsidP="000F02B6">
            <w:pPr>
              <w:pStyle w:val="a7"/>
              <w:numPr>
                <w:ilvl w:val="2"/>
                <w:numId w:val="4"/>
              </w:numPr>
              <w:contextualSpacing w:val="0"/>
              <w:rPr>
                <w:sz w:val="20"/>
                <w:szCs w:val="20"/>
                <w:lang w:eastAsia="zh-CN"/>
              </w:rPr>
            </w:pPr>
            <w:r w:rsidRPr="000F02B6">
              <w:rPr>
                <w:sz w:val="20"/>
                <w:szCs w:val="20"/>
                <w:lang w:eastAsia="zh-CN"/>
              </w:rPr>
              <w:lastRenderedPageBreak/>
              <w:t>Location: the starting point of the interruption is ‘interruption length + margin’ before the selected RO (no signaling, hardcoded in spec), and the value of margin is FFS</w:t>
            </w:r>
          </w:p>
          <w:p w:rsidR="000F02B6" w:rsidRPr="000F02B6" w:rsidRDefault="000F02B6" w:rsidP="000F02B6">
            <w:pPr>
              <w:pStyle w:val="a7"/>
              <w:numPr>
                <w:ilvl w:val="1"/>
                <w:numId w:val="4"/>
              </w:numPr>
              <w:ind w:left="1440"/>
              <w:contextualSpacing w:val="0"/>
              <w:rPr>
                <w:sz w:val="20"/>
                <w:szCs w:val="20"/>
                <w:lang w:eastAsia="zh-CN"/>
              </w:rPr>
            </w:pPr>
            <w:r w:rsidRPr="000F02B6">
              <w:rPr>
                <w:sz w:val="20"/>
                <w:szCs w:val="20"/>
                <w:lang w:eastAsia="zh-CN"/>
              </w:rPr>
              <w:t>Option 3 (CATT):</w:t>
            </w:r>
          </w:p>
          <w:p w:rsidR="000F02B6" w:rsidRPr="000F02B6" w:rsidRDefault="000F02B6" w:rsidP="000F02B6">
            <w:pPr>
              <w:pStyle w:val="a7"/>
              <w:numPr>
                <w:ilvl w:val="2"/>
                <w:numId w:val="4"/>
              </w:numPr>
              <w:contextualSpacing w:val="0"/>
              <w:rPr>
                <w:sz w:val="20"/>
                <w:szCs w:val="20"/>
                <w:lang w:eastAsia="zh-CN"/>
              </w:rPr>
            </w:pPr>
            <w:r w:rsidRPr="000F02B6">
              <w:rPr>
                <w:sz w:val="20"/>
                <w:szCs w:val="20"/>
                <w:lang w:eastAsia="zh-CN"/>
              </w:rPr>
              <w:t xml:space="preserve">If RACH occasion (RO) is outside active BWP, there will be interruption on UL Tx of all the serving cells due to RF retuning. </w:t>
            </w:r>
          </w:p>
          <w:p w:rsidR="000F02B6" w:rsidRPr="000F02B6" w:rsidRDefault="000F02B6" w:rsidP="000F02B6">
            <w:pPr>
              <w:pStyle w:val="a7"/>
              <w:numPr>
                <w:ilvl w:val="1"/>
                <w:numId w:val="4"/>
              </w:numPr>
              <w:ind w:left="1440"/>
              <w:contextualSpacing w:val="0"/>
              <w:rPr>
                <w:sz w:val="20"/>
                <w:szCs w:val="20"/>
                <w:lang w:eastAsia="zh-CN"/>
              </w:rPr>
            </w:pPr>
            <w:r w:rsidRPr="000F02B6">
              <w:rPr>
                <w:sz w:val="20"/>
                <w:szCs w:val="20"/>
                <w:lang w:eastAsia="zh-CN"/>
              </w:rPr>
              <w:t>Option 4 (Apple): Define interruption due to RF retuning (if RO cannot be covered by current active BWP) for both DL synchronization and RACH transmission.</w:t>
            </w:r>
          </w:p>
          <w:p w:rsidR="000F02B6" w:rsidRPr="000F02B6" w:rsidRDefault="000F02B6" w:rsidP="000F02B6">
            <w:pPr>
              <w:pStyle w:val="a7"/>
              <w:numPr>
                <w:ilvl w:val="1"/>
                <w:numId w:val="4"/>
              </w:numPr>
              <w:ind w:left="1440"/>
              <w:contextualSpacing w:val="0"/>
              <w:rPr>
                <w:sz w:val="20"/>
                <w:szCs w:val="20"/>
                <w:lang w:eastAsia="zh-CN"/>
              </w:rPr>
            </w:pPr>
            <w:r w:rsidRPr="000F02B6">
              <w:rPr>
                <w:sz w:val="20"/>
                <w:szCs w:val="20"/>
                <w:lang w:eastAsia="zh-CN"/>
              </w:rPr>
              <w:t xml:space="preserve">Option 5 (vivo): </w:t>
            </w:r>
          </w:p>
          <w:p w:rsidR="000F02B6" w:rsidRPr="000F02B6" w:rsidRDefault="000F02B6" w:rsidP="000F02B6">
            <w:pPr>
              <w:pStyle w:val="a7"/>
              <w:numPr>
                <w:ilvl w:val="2"/>
                <w:numId w:val="4"/>
              </w:numPr>
              <w:contextualSpacing w:val="0"/>
              <w:rPr>
                <w:sz w:val="20"/>
                <w:szCs w:val="20"/>
                <w:lang w:eastAsia="zh-CN"/>
              </w:rPr>
            </w:pPr>
            <w:r w:rsidRPr="000F02B6">
              <w:rPr>
                <w:sz w:val="20"/>
                <w:szCs w:val="20"/>
                <w:lang w:eastAsia="zh-CN"/>
              </w:rPr>
              <w:t xml:space="preserve">RAN4 to prioritize interruption requirements of PRACH on a candidate cell assuming UE has the corresponding CA capability for the inter-CC case, and the PRACH of a candidate cell is at least covered by one of configured BWP of any serving cell. </w:t>
            </w:r>
          </w:p>
          <w:p w:rsidR="000F02B6" w:rsidRPr="000F02B6" w:rsidRDefault="000F02B6" w:rsidP="000F02B6">
            <w:pPr>
              <w:pStyle w:val="a7"/>
              <w:numPr>
                <w:ilvl w:val="2"/>
                <w:numId w:val="4"/>
              </w:numPr>
              <w:contextualSpacing w:val="0"/>
              <w:rPr>
                <w:sz w:val="20"/>
                <w:szCs w:val="20"/>
                <w:lang w:eastAsia="zh-CN"/>
              </w:rPr>
            </w:pPr>
            <w:r w:rsidRPr="000F02B6">
              <w:rPr>
                <w:sz w:val="20"/>
                <w:szCs w:val="20"/>
                <w:lang w:eastAsia="zh-CN"/>
              </w:rPr>
              <w:t>RAN4 proceeds with the assumption that for the PDCCH ordered PRACH to target cell, the PRACH resource is covered by at least one configured BWP of any serving cell. For other cases, RAN4 waits more RAN1/2 progress.</w:t>
            </w:r>
          </w:p>
          <w:p w:rsidR="000F02B6" w:rsidRPr="000F02B6" w:rsidRDefault="000F02B6" w:rsidP="000F02B6">
            <w:pPr>
              <w:rPr>
                <w:rFonts w:ascii="Times New Roman" w:hAnsi="Times New Roman" w:cs="Times New Roman"/>
                <w:b/>
                <w:sz w:val="20"/>
                <w:szCs w:val="20"/>
                <w:u w:val="single"/>
              </w:rPr>
            </w:pPr>
            <w:r w:rsidRPr="000F02B6">
              <w:rPr>
                <w:rFonts w:ascii="Times New Roman" w:hAnsi="Times New Roman" w:cs="Times New Roman"/>
                <w:b/>
                <w:sz w:val="20"/>
                <w:szCs w:val="20"/>
                <w:u w:val="single"/>
              </w:rPr>
              <w:t xml:space="preserve">Issue 1-2-3-2: Interruption due to returning to </w:t>
            </w:r>
            <w:r w:rsidRPr="000F02B6">
              <w:rPr>
                <w:rFonts w:ascii="Times New Roman" w:hAnsi="Times New Roman" w:cs="Times New Roman"/>
                <w:b/>
                <w:sz w:val="20"/>
                <w:szCs w:val="20"/>
                <w:highlight w:val="yellow"/>
                <w:u w:val="single"/>
              </w:rPr>
              <w:t>serving</w:t>
            </w:r>
            <w:r w:rsidRPr="000F02B6">
              <w:rPr>
                <w:rFonts w:ascii="Times New Roman" w:hAnsi="Times New Roman" w:cs="Times New Roman"/>
                <w:b/>
                <w:sz w:val="20"/>
                <w:szCs w:val="20"/>
                <w:u w:val="single"/>
              </w:rPr>
              <w:t xml:space="preserve"> cell </w:t>
            </w:r>
            <w:r w:rsidRPr="000F02B6">
              <w:rPr>
                <w:rFonts w:ascii="Times New Roman" w:hAnsi="Times New Roman" w:cs="Times New Roman"/>
                <w:b/>
                <w:sz w:val="20"/>
                <w:szCs w:val="20"/>
                <w:highlight w:val="yellow"/>
                <w:u w:val="single"/>
              </w:rPr>
              <w:t>after</w:t>
            </w:r>
            <w:r w:rsidRPr="000F02B6">
              <w:rPr>
                <w:rFonts w:ascii="Times New Roman" w:hAnsi="Times New Roman" w:cs="Times New Roman"/>
                <w:b/>
                <w:sz w:val="20"/>
                <w:szCs w:val="20"/>
                <w:u w:val="single"/>
              </w:rPr>
              <w:t xml:space="preserve"> performing RACH on neighbour cell</w:t>
            </w:r>
          </w:p>
          <w:p w:rsidR="000F02B6" w:rsidRPr="000F02B6" w:rsidRDefault="000F02B6" w:rsidP="000F02B6">
            <w:pPr>
              <w:rPr>
                <w:rFonts w:ascii="Times New Roman" w:eastAsia="宋体" w:hAnsi="Times New Roman" w:cs="Times New Roman"/>
                <w:sz w:val="20"/>
                <w:szCs w:val="20"/>
              </w:rPr>
            </w:pPr>
            <w:r w:rsidRPr="000F02B6">
              <w:rPr>
                <w:rFonts w:ascii="Times New Roman" w:hAnsi="Times New Roman" w:cs="Times New Roman"/>
                <w:b/>
                <w:sz w:val="20"/>
                <w:szCs w:val="20"/>
              </w:rPr>
              <w:t xml:space="preserve">&lt;Way Forward&gt; </w:t>
            </w:r>
            <w:r w:rsidRPr="000F02B6">
              <w:rPr>
                <w:rFonts w:ascii="Times New Roman" w:hAnsi="Times New Roman" w:cs="Times New Roman"/>
                <w:bCs/>
                <w:sz w:val="20"/>
                <w:szCs w:val="20"/>
              </w:rPr>
              <w:t>FFS the following options:</w:t>
            </w:r>
          </w:p>
          <w:p w:rsidR="000F02B6" w:rsidRPr="000F02B6" w:rsidRDefault="000F02B6" w:rsidP="000F02B6">
            <w:pPr>
              <w:pStyle w:val="a7"/>
              <w:numPr>
                <w:ilvl w:val="1"/>
                <w:numId w:val="4"/>
              </w:numPr>
              <w:ind w:left="1440"/>
              <w:contextualSpacing w:val="0"/>
              <w:rPr>
                <w:sz w:val="20"/>
                <w:szCs w:val="20"/>
                <w:lang w:eastAsia="zh-CN"/>
              </w:rPr>
            </w:pPr>
            <w:r w:rsidRPr="000F02B6">
              <w:rPr>
                <w:sz w:val="20"/>
                <w:szCs w:val="20"/>
                <w:lang w:eastAsia="zh-CN"/>
              </w:rPr>
              <w:t>Option 1 (vivo): if the PRACH is outside the configured BWP of any serving cell, RF re-tuning back to current frequency are needed.</w:t>
            </w:r>
          </w:p>
          <w:p w:rsidR="000F02B6" w:rsidRPr="000F02B6" w:rsidRDefault="000F02B6" w:rsidP="000F02B6">
            <w:pPr>
              <w:pStyle w:val="a7"/>
              <w:numPr>
                <w:ilvl w:val="1"/>
                <w:numId w:val="4"/>
              </w:numPr>
              <w:ind w:left="1440"/>
              <w:contextualSpacing w:val="0"/>
              <w:rPr>
                <w:sz w:val="20"/>
                <w:szCs w:val="20"/>
                <w:lang w:eastAsia="zh-CN"/>
              </w:rPr>
            </w:pPr>
            <w:r w:rsidRPr="000F02B6">
              <w:rPr>
                <w:sz w:val="20"/>
                <w:szCs w:val="20"/>
                <w:lang w:eastAsia="zh-CN"/>
              </w:rPr>
              <w:t xml:space="preserve">Option 2 (MTK): </w:t>
            </w:r>
          </w:p>
          <w:p w:rsidR="000F02B6" w:rsidRPr="000F02B6" w:rsidRDefault="000F02B6" w:rsidP="000F02B6">
            <w:pPr>
              <w:pStyle w:val="a7"/>
              <w:numPr>
                <w:ilvl w:val="2"/>
                <w:numId w:val="4"/>
              </w:numPr>
              <w:contextualSpacing w:val="0"/>
              <w:rPr>
                <w:sz w:val="20"/>
                <w:szCs w:val="20"/>
                <w:lang w:eastAsia="zh-CN"/>
              </w:rPr>
            </w:pPr>
            <w:r w:rsidRPr="000F02B6">
              <w:rPr>
                <w:sz w:val="20"/>
                <w:szCs w:val="20"/>
                <w:lang w:eastAsia="zh-CN"/>
              </w:rPr>
              <w:t>If RACH occasion of neighbor cell is not in the active BWP</w:t>
            </w:r>
          </w:p>
          <w:p w:rsidR="000F02B6" w:rsidRPr="000F02B6" w:rsidRDefault="000F02B6" w:rsidP="000F02B6">
            <w:pPr>
              <w:pStyle w:val="a7"/>
              <w:numPr>
                <w:ilvl w:val="3"/>
                <w:numId w:val="4"/>
              </w:numPr>
              <w:contextualSpacing w:val="0"/>
              <w:rPr>
                <w:sz w:val="20"/>
                <w:szCs w:val="20"/>
                <w:lang w:eastAsia="zh-CN"/>
              </w:rPr>
            </w:pPr>
            <w:r w:rsidRPr="000F02B6">
              <w:rPr>
                <w:sz w:val="20"/>
                <w:szCs w:val="20"/>
                <w:lang w:eastAsia="zh-CN"/>
              </w:rPr>
              <w:t>Retuning to neighbor cell before RACH transmission would cause 1ms+ 1 slot interruption on both UL and DL of all the serving cell(s).</w:t>
            </w:r>
          </w:p>
          <w:p w:rsidR="000F02B6" w:rsidRPr="000F02B6" w:rsidRDefault="000F02B6" w:rsidP="000F02B6">
            <w:pPr>
              <w:pStyle w:val="a7"/>
              <w:numPr>
                <w:ilvl w:val="2"/>
                <w:numId w:val="4"/>
              </w:numPr>
              <w:contextualSpacing w:val="0"/>
              <w:rPr>
                <w:sz w:val="20"/>
                <w:szCs w:val="20"/>
                <w:lang w:eastAsia="zh-CN"/>
              </w:rPr>
            </w:pPr>
            <w:r w:rsidRPr="000F02B6">
              <w:rPr>
                <w:sz w:val="20"/>
                <w:szCs w:val="20"/>
                <w:lang w:eastAsia="zh-CN"/>
              </w:rPr>
              <w:t>If RACH occasion of neighbor cell is in the active BWP</w:t>
            </w:r>
          </w:p>
          <w:p w:rsidR="000F02B6" w:rsidRPr="000F02B6" w:rsidRDefault="000F02B6" w:rsidP="000F02B6">
            <w:pPr>
              <w:pStyle w:val="a7"/>
              <w:numPr>
                <w:ilvl w:val="3"/>
                <w:numId w:val="4"/>
              </w:numPr>
              <w:contextualSpacing w:val="0"/>
              <w:rPr>
                <w:sz w:val="20"/>
                <w:szCs w:val="20"/>
                <w:lang w:eastAsia="zh-CN"/>
              </w:rPr>
            </w:pPr>
            <w:r w:rsidRPr="000F02B6">
              <w:rPr>
                <w:sz w:val="20"/>
                <w:szCs w:val="20"/>
                <w:lang w:eastAsia="zh-CN"/>
              </w:rPr>
              <w:t>one more slot interruption (due to uncertainty of RTD between cells) on top of the legacy N symbols (defined in 38.213 for PDCCH-order RACH on serving cell) is necessary.</w:t>
            </w:r>
          </w:p>
          <w:p w:rsidR="000F02B6" w:rsidRPr="000F02B6" w:rsidRDefault="000F02B6" w:rsidP="000F02B6">
            <w:pPr>
              <w:pStyle w:val="a7"/>
              <w:numPr>
                <w:ilvl w:val="1"/>
                <w:numId w:val="4"/>
              </w:numPr>
              <w:ind w:left="1440"/>
              <w:contextualSpacing w:val="0"/>
              <w:rPr>
                <w:sz w:val="20"/>
                <w:szCs w:val="20"/>
                <w:lang w:eastAsia="zh-CN"/>
              </w:rPr>
            </w:pPr>
            <w:r w:rsidRPr="000F02B6">
              <w:rPr>
                <w:sz w:val="20"/>
                <w:szCs w:val="20"/>
                <w:lang w:eastAsia="zh-CN"/>
              </w:rPr>
              <w:t>Option 3 (Ericsson): Return time after performing RACH on neighbour cell to be agreed as same as legacy value.</w:t>
            </w:r>
          </w:p>
          <w:p w:rsidR="000F02B6" w:rsidRPr="000F02B6" w:rsidRDefault="000F02B6" w:rsidP="000F02B6">
            <w:pPr>
              <w:pStyle w:val="a7"/>
              <w:ind w:left="1440"/>
              <w:rPr>
                <w:i/>
                <w:iCs/>
                <w:color w:val="0070C0"/>
                <w:sz w:val="20"/>
                <w:szCs w:val="20"/>
                <w:lang w:eastAsia="zh-CN"/>
              </w:rPr>
            </w:pPr>
            <w:r w:rsidRPr="000F02B6">
              <w:rPr>
                <w:i/>
                <w:iCs/>
                <w:color w:val="0070C0"/>
                <w:sz w:val="20"/>
                <w:szCs w:val="20"/>
                <w:lang w:eastAsia="zh-CN"/>
              </w:rPr>
              <w:t>Moderator: Not clear about “legacy value” in option 2. N symbols defined in 38.213 for PDCCH-order RACH on serving cell?</w:t>
            </w:r>
          </w:p>
          <w:p w:rsidR="000F02B6" w:rsidRPr="000F02B6" w:rsidRDefault="000F02B6" w:rsidP="000F02B6">
            <w:pPr>
              <w:pStyle w:val="a7"/>
              <w:numPr>
                <w:ilvl w:val="1"/>
                <w:numId w:val="4"/>
              </w:numPr>
              <w:ind w:left="1440"/>
              <w:contextualSpacing w:val="0"/>
              <w:rPr>
                <w:sz w:val="20"/>
                <w:szCs w:val="20"/>
                <w:lang w:eastAsia="zh-CN"/>
              </w:rPr>
            </w:pPr>
            <w:r w:rsidRPr="000F02B6">
              <w:rPr>
                <w:sz w:val="20"/>
                <w:szCs w:val="20"/>
                <w:lang w:eastAsia="zh-CN"/>
              </w:rPr>
              <w:t>Option 4 (QC): Introduce new UE capability</w:t>
            </w:r>
          </w:p>
          <w:p w:rsidR="000F02B6" w:rsidRPr="000F02B6" w:rsidRDefault="000F02B6" w:rsidP="000F02B6">
            <w:pPr>
              <w:pStyle w:val="a7"/>
              <w:numPr>
                <w:ilvl w:val="2"/>
                <w:numId w:val="4"/>
              </w:numPr>
              <w:contextualSpacing w:val="0"/>
              <w:rPr>
                <w:sz w:val="20"/>
                <w:szCs w:val="20"/>
                <w:lang w:eastAsia="zh-CN"/>
              </w:rPr>
            </w:pPr>
            <w:r w:rsidRPr="000F02B6">
              <w:rPr>
                <w:sz w:val="20"/>
                <w:szCs w:val="20"/>
                <w:lang w:eastAsia="zh-CN"/>
              </w:rPr>
              <w:t>The latency and interruption length due to tune-back may or may not be the same as the above interruption length corresponding to the LTM PRACH cell</w:t>
            </w:r>
          </w:p>
          <w:p w:rsidR="000F02B6" w:rsidRPr="000F02B6" w:rsidRDefault="000F02B6" w:rsidP="000F02B6">
            <w:pPr>
              <w:rPr>
                <w:rFonts w:ascii="Times New Roman" w:hAnsi="Times New Roman" w:cs="Times New Roman"/>
                <w:b/>
                <w:sz w:val="20"/>
                <w:szCs w:val="20"/>
                <w:u w:val="single"/>
              </w:rPr>
            </w:pPr>
            <w:r w:rsidRPr="000F02B6">
              <w:rPr>
                <w:rFonts w:ascii="Times New Roman" w:hAnsi="Times New Roman" w:cs="Times New Roman"/>
                <w:b/>
                <w:sz w:val="20"/>
                <w:szCs w:val="20"/>
                <w:u w:val="single"/>
              </w:rPr>
              <w:t>Issue 1-2-3-3: Interruption due to RACH transmission</w:t>
            </w:r>
          </w:p>
          <w:p w:rsidR="000F02B6" w:rsidRPr="000F02B6" w:rsidRDefault="000F02B6" w:rsidP="000F02B6">
            <w:pPr>
              <w:rPr>
                <w:rFonts w:ascii="Times New Roman" w:eastAsia="宋体" w:hAnsi="Times New Roman" w:cs="Times New Roman"/>
                <w:sz w:val="20"/>
                <w:szCs w:val="20"/>
              </w:rPr>
            </w:pPr>
            <w:r w:rsidRPr="000F02B6">
              <w:rPr>
                <w:rFonts w:ascii="Times New Roman" w:hAnsi="Times New Roman" w:cs="Times New Roman"/>
                <w:b/>
                <w:sz w:val="20"/>
                <w:szCs w:val="20"/>
              </w:rPr>
              <w:t xml:space="preserve">&lt;Way Forward&gt; </w:t>
            </w:r>
            <w:r w:rsidRPr="000F02B6">
              <w:rPr>
                <w:rFonts w:ascii="Times New Roman" w:hAnsi="Times New Roman" w:cs="Times New Roman"/>
                <w:bCs/>
                <w:sz w:val="20"/>
                <w:szCs w:val="20"/>
              </w:rPr>
              <w:t>FFS the following options:</w:t>
            </w:r>
          </w:p>
          <w:p w:rsidR="000F02B6" w:rsidRPr="000F02B6" w:rsidRDefault="000F02B6" w:rsidP="000F02B6">
            <w:pPr>
              <w:pStyle w:val="a7"/>
              <w:numPr>
                <w:ilvl w:val="1"/>
                <w:numId w:val="4"/>
              </w:numPr>
              <w:ind w:left="1440"/>
              <w:contextualSpacing w:val="0"/>
              <w:rPr>
                <w:sz w:val="20"/>
                <w:szCs w:val="20"/>
                <w:lang w:eastAsia="zh-CN"/>
              </w:rPr>
            </w:pPr>
            <w:r w:rsidRPr="000F02B6">
              <w:rPr>
                <w:sz w:val="20"/>
                <w:szCs w:val="20"/>
                <w:lang w:eastAsia="zh-CN"/>
              </w:rPr>
              <w:t xml:space="preserve">Option 1 (MTK): </w:t>
            </w:r>
          </w:p>
          <w:p w:rsidR="000F02B6" w:rsidRPr="000F02B6" w:rsidRDefault="000F02B6" w:rsidP="000F02B6">
            <w:pPr>
              <w:pStyle w:val="a7"/>
              <w:numPr>
                <w:ilvl w:val="2"/>
                <w:numId w:val="4"/>
              </w:numPr>
              <w:contextualSpacing w:val="0"/>
              <w:rPr>
                <w:sz w:val="20"/>
                <w:szCs w:val="20"/>
                <w:lang w:eastAsia="zh-CN"/>
              </w:rPr>
            </w:pPr>
            <w:r w:rsidRPr="000F02B6">
              <w:rPr>
                <w:sz w:val="20"/>
                <w:szCs w:val="20"/>
                <w:lang w:eastAsia="zh-CN"/>
              </w:rPr>
              <w:t>If RACH occasion of neighbor cell is not in the active BWP</w:t>
            </w:r>
          </w:p>
          <w:p w:rsidR="000F02B6" w:rsidRPr="000F02B6" w:rsidRDefault="000F02B6" w:rsidP="000F02B6">
            <w:pPr>
              <w:pStyle w:val="a7"/>
              <w:numPr>
                <w:ilvl w:val="3"/>
                <w:numId w:val="4"/>
              </w:numPr>
              <w:contextualSpacing w:val="0"/>
              <w:rPr>
                <w:sz w:val="20"/>
                <w:szCs w:val="20"/>
                <w:lang w:eastAsia="zh-CN"/>
              </w:rPr>
            </w:pPr>
            <w:r w:rsidRPr="000F02B6">
              <w:rPr>
                <w:sz w:val="20"/>
                <w:szCs w:val="20"/>
                <w:lang w:eastAsia="zh-CN"/>
              </w:rPr>
              <w:lastRenderedPageBreak/>
              <w:t>During RACH transmission, there will be interruption on both UL and DL</w:t>
            </w:r>
          </w:p>
          <w:p w:rsidR="000F02B6" w:rsidRPr="000F02B6" w:rsidRDefault="000F02B6" w:rsidP="000F02B6">
            <w:pPr>
              <w:pStyle w:val="a7"/>
              <w:numPr>
                <w:ilvl w:val="1"/>
                <w:numId w:val="4"/>
              </w:numPr>
              <w:ind w:left="1440"/>
              <w:contextualSpacing w:val="0"/>
              <w:rPr>
                <w:sz w:val="20"/>
                <w:szCs w:val="20"/>
                <w:lang w:eastAsia="zh-CN"/>
              </w:rPr>
            </w:pPr>
            <w:r w:rsidRPr="000F02B6">
              <w:rPr>
                <w:sz w:val="20"/>
                <w:szCs w:val="20"/>
                <w:lang w:eastAsia="zh-CN"/>
              </w:rPr>
              <w:t>Option 2 (QC): Introduce new UE capability</w:t>
            </w:r>
          </w:p>
          <w:p w:rsidR="000F02B6" w:rsidRPr="000F02B6" w:rsidRDefault="000F02B6" w:rsidP="000F02B6">
            <w:pPr>
              <w:pStyle w:val="a7"/>
              <w:numPr>
                <w:ilvl w:val="2"/>
                <w:numId w:val="4"/>
              </w:numPr>
              <w:contextualSpacing w:val="0"/>
              <w:rPr>
                <w:sz w:val="20"/>
                <w:szCs w:val="20"/>
                <w:lang w:eastAsia="zh-CN"/>
              </w:rPr>
            </w:pPr>
            <w:r w:rsidRPr="000F02B6">
              <w:rPr>
                <w:sz w:val="20"/>
                <w:szCs w:val="20"/>
                <w:lang w:eastAsia="zh-CN"/>
              </w:rPr>
              <w:t>RAN4 to wait for RAN1 conclusion on whether/how to define dropping rule and interruption to active serving cells upon PDCCH-order based PRACH on a candidate cell if UE cannot perform Rx/Tx with the serving cells in parallel with the PRACH transmission or does not support simultaneous/parallel transmissions.</w:t>
            </w:r>
          </w:p>
          <w:p w:rsidR="000F02B6" w:rsidRPr="000F02B6" w:rsidRDefault="000F02B6" w:rsidP="000F02B6">
            <w:pPr>
              <w:pStyle w:val="a7"/>
              <w:numPr>
                <w:ilvl w:val="2"/>
                <w:numId w:val="4"/>
              </w:numPr>
              <w:contextualSpacing w:val="0"/>
              <w:rPr>
                <w:sz w:val="20"/>
                <w:szCs w:val="20"/>
                <w:lang w:eastAsia="zh-CN"/>
              </w:rPr>
            </w:pPr>
            <w:r w:rsidRPr="000F02B6">
              <w:rPr>
                <w:sz w:val="20"/>
                <w:szCs w:val="20"/>
                <w:lang w:eastAsia="zh-CN"/>
              </w:rPr>
              <w:t>Direction: whether the interruption is only UL or both DL and UL if the victim cell is inter-band with LTM PRACH cell</w:t>
            </w:r>
          </w:p>
          <w:p w:rsidR="000F02B6" w:rsidRPr="000F02B6" w:rsidRDefault="000F02B6" w:rsidP="000F02B6">
            <w:pPr>
              <w:pStyle w:val="a7"/>
              <w:numPr>
                <w:ilvl w:val="2"/>
                <w:numId w:val="4"/>
              </w:numPr>
              <w:contextualSpacing w:val="0"/>
              <w:rPr>
                <w:sz w:val="20"/>
                <w:szCs w:val="20"/>
                <w:lang w:eastAsia="zh-CN"/>
              </w:rPr>
            </w:pPr>
            <w:r w:rsidRPr="000F02B6">
              <w:rPr>
                <w:sz w:val="20"/>
                <w:szCs w:val="20"/>
                <w:lang w:eastAsia="zh-CN"/>
              </w:rPr>
              <w:t>Band: whether the interruption is confined within the same band (intra-band) or across-bands</w:t>
            </w:r>
          </w:p>
          <w:p w:rsidR="000F02B6" w:rsidRPr="000F02B6" w:rsidRDefault="000F02B6" w:rsidP="000F02B6">
            <w:pPr>
              <w:pStyle w:val="a7"/>
              <w:numPr>
                <w:ilvl w:val="2"/>
                <w:numId w:val="4"/>
              </w:numPr>
              <w:contextualSpacing w:val="0"/>
              <w:rPr>
                <w:sz w:val="20"/>
                <w:szCs w:val="20"/>
                <w:lang w:eastAsia="zh-CN"/>
              </w:rPr>
            </w:pPr>
            <w:r w:rsidRPr="000F02B6">
              <w:rPr>
                <w:sz w:val="20"/>
                <w:szCs w:val="20"/>
                <w:lang w:eastAsia="zh-CN"/>
              </w:rPr>
              <w:t>Length: per-LTM PRACH cell</w:t>
            </w:r>
          </w:p>
          <w:p w:rsidR="000F02B6" w:rsidRPr="000F02B6" w:rsidRDefault="000F02B6" w:rsidP="000F02B6">
            <w:pPr>
              <w:pStyle w:val="a7"/>
              <w:numPr>
                <w:ilvl w:val="2"/>
                <w:numId w:val="4"/>
              </w:numPr>
              <w:contextualSpacing w:val="0"/>
              <w:rPr>
                <w:sz w:val="20"/>
                <w:szCs w:val="20"/>
                <w:lang w:eastAsia="zh-CN"/>
              </w:rPr>
            </w:pPr>
            <w:r w:rsidRPr="000F02B6">
              <w:rPr>
                <w:sz w:val="20"/>
                <w:szCs w:val="20"/>
                <w:lang w:eastAsia="zh-CN"/>
              </w:rPr>
              <w:t>Location: the starting point of the interruption is ‘interruption length + margin’ before the selected RO (no signaling, hardcoded in spec), and the value of margin is FFS</w:t>
            </w:r>
          </w:p>
          <w:p w:rsidR="000F02B6" w:rsidRPr="000F02B6" w:rsidRDefault="000F02B6" w:rsidP="000F02B6">
            <w:pPr>
              <w:pStyle w:val="a7"/>
              <w:numPr>
                <w:ilvl w:val="1"/>
                <w:numId w:val="4"/>
              </w:numPr>
              <w:ind w:left="1440"/>
              <w:contextualSpacing w:val="0"/>
              <w:rPr>
                <w:sz w:val="20"/>
                <w:szCs w:val="20"/>
                <w:lang w:eastAsia="zh-CN"/>
              </w:rPr>
            </w:pPr>
            <w:r w:rsidRPr="000F02B6">
              <w:rPr>
                <w:sz w:val="20"/>
                <w:szCs w:val="20"/>
                <w:lang w:eastAsia="zh-CN"/>
              </w:rPr>
              <w:t>Option 3 (CATT):</w:t>
            </w:r>
          </w:p>
          <w:p w:rsidR="000F02B6" w:rsidRPr="000F02B6" w:rsidRDefault="000F02B6" w:rsidP="000F02B6">
            <w:pPr>
              <w:pStyle w:val="a7"/>
              <w:numPr>
                <w:ilvl w:val="2"/>
                <w:numId w:val="4"/>
              </w:numPr>
              <w:contextualSpacing w:val="0"/>
              <w:rPr>
                <w:sz w:val="20"/>
                <w:szCs w:val="20"/>
                <w:lang w:eastAsia="zh-CN"/>
              </w:rPr>
            </w:pPr>
            <w:r w:rsidRPr="000F02B6">
              <w:rPr>
                <w:sz w:val="20"/>
                <w:szCs w:val="20"/>
                <w:lang w:eastAsia="zh-CN"/>
              </w:rPr>
              <w:t>It is suggested to introduce the scheduling restriction for UL of all the serving cells before and after RACH transmission and the relevant requirements will be captured in RAN4 spec. The length is FFS and it is also related to whether UE is capable to support RTD&gt;CP.</w:t>
            </w:r>
          </w:p>
          <w:p w:rsidR="000F02B6" w:rsidRPr="000F02B6" w:rsidRDefault="000F02B6" w:rsidP="000F02B6">
            <w:pPr>
              <w:pStyle w:val="a7"/>
              <w:numPr>
                <w:ilvl w:val="2"/>
                <w:numId w:val="4"/>
              </w:numPr>
              <w:contextualSpacing w:val="0"/>
              <w:rPr>
                <w:sz w:val="20"/>
                <w:szCs w:val="20"/>
                <w:lang w:eastAsia="zh-CN"/>
              </w:rPr>
            </w:pPr>
            <w:r w:rsidRPr="000F02B6">
              <w:rPr>
                <w:sz w:val="20"/>
                <w:szCs w:val="20"/>
                <w:lang w:eastAsia="zh-CN"/>
              </w:rPr>
              <w:t>If RAN1 makes progress on the issue, RAN4 should further capture it in the spec.</w:t>
            </w:r>
          </w:p>
          <w:p w:rsidR="000F02B6" w:rsidRPr="000F02B6" w:rsidRDefault="000F02B6" w:rsidP="000F02B6">
            <w:pPr>
              <w:rPr>
                <w:rFonts w:ascii="Times New Roman" w:hAnsi="Times New Roman" w:cs="Times New Roman"/>
                <w:b/>
                <w:sz w:val="20"/>
                <w:szCs w:val="20"/>
                <w:u w:val="single"/>
              </w:rPr>
            </w:pPr>
            <w:r w:rsidRPr="000F02B6">
              <w:rPr>
                <w:rFonts w:ascii="Times New Roman" w:hAnsi="Times New Roman" w:cs="Times New Roman"/>
                <w:b/>
                <w:sz w:val="20"/>
                <w:szCs w:val="20"/>
                <w:u w:val="single"/>
              </w:rPr>
              <w:t>Issue 1-2-3-4: Scheduling restriction/interruption due to additional DL synchronization after reception of PDCCH order RACH on neighbor cell</w:t>
            </w:r>
          </w:p>
          <w:p w:rsidR="000F02B6" w:rsidRPr="000F02B6" w:rsidRDefault="000F02B6" w:rsidP="000F02B6">
            <w:pPr>
              <w:rPr>
                <w:rFonts w:ascii="Times New Roman" w:eastAsia="宋体" w:hAnsi="Times New Roman" w:cs="Times New Roman"/>
                <w:sz w:val="20"/>
                <w:szCs w:val="20"/>
              </w:rPr>
            </w:pPr>
            <w:r w:rsidRPr="000F02B6">
              <w:rPr>
                <w:rFonts w:ascii="Times New Roman" w:hAnsi="Times New Roman" w:cs="Times New Roman"/>
                <w:b/>
                <w:sz w:val="20"/>
                <w:szCs w:val="20"/>
              </w:rPr>
              <w:t xml:space="preserve">&lt;Way Forward&gt; </w:t>
            </w:r>
            <w:r w:rsidRPr="000F02B6">
              <w:rPr>
                <w:rFonts w:ascii="Times New Roman" w:hAnsi="Times New Roman" w:cs="Times New Roman"/>
                <w:bCs/>
                <w:sz w:val="20"/>
                <w:szCs w:val="20"/>
              </w:rPr>
              <w:t>FFS the following options:</w:t>
            </w:r>
          </w:p>
          <w:p w:rsidR="000F02B6" w:rsidRPr="000F02B6" w:rsidRDefault="000F02B6" w:rsidP="000F02B6">
            <w:pPr>
              <w:pStyle w:val="a7"/>
              <w:numPr>
                <w:ilvl w:val="1"/>
                <w:numId w:val="4"/>
              </w:numPr>
              <w:ind w:left="1440"/>
              <w:contextualSpacing w:val="0"/>
              <w:rPr>
                <w:sz w:val="20"/>
                <w:szCs w:val="20"/>
                <w:lang w:eastAsia="zh-CN"/>
              </w:rPr>
            </w:pPr>
            <w:r w:rsidRPr="000F02B6">
              <w:rPr>
                <w:sz w:val="20"/>
                <w:szCs w:val="20"/>
                <w:lang w:eastAsia="zh-CN"/>
              </w:rPr>
              <w:t>Option 1 (MTK): Scheduling restriction due to DL synchronization after reception of PDCCH order is needed. The requirements can be covered by the scheduling restriction of L1-RSRP and/or L3 measurement.</w:t>
            </w:r>
          </w:p>
          <w:p w:rsidR="001011CC" w:rsidRPr="000F02B6" w:rsidRDefault="000F02B6" w:rsidP="000F02B6">
            <w:pPr>
              <w:pStyle w:val="a7"/>
              <w:numPr>
                <w:ilvl w:val="1"/>
                <w:numId w:val="4"/>
              </w:numPr>
              <w:ind w:left="1440"/>
              <w:contextualSpacing w:val="0"/>
              <w:rPr>
                <w:lang w:eastAsia="zh-CN"/>
              </w:rPr>
            </w:pPr>
            <w:r w:rsidRPr="000F02B6">
              <w:rPr>
                <w:sz w:val="20"/>
                <w:szCs w:val="20"/>
                <w:lang w:eastAsia="zh-CN"/>
              </w:rPr>
              <w:t>Option 2 (Apple): Define the interruption due to DL synchronization (if not covered by measurement gap or using different Rx beam) before RACH</w:t>
            </w:r>
          </w:p>
        </w:tc>
      </w:tr>
    </w:tbl>
    <w:p w:rsidR="00CB572B" w:rsidRDefault="00CB572B" w:rsidP="009072EE">
      <w:pPr>
        <w:rPr>
          <w:rFonts w:ascii="Times New Roman" w:hAnsi="Times New Roman" w:cs="Times New Roman"/>
          <w:sz w:val="20"/>
          <w:szCs w:val="20"/>
          <w:lang w:val="en-GB"/>
        </w:rPr>
      </w:pPr>
      <w:r>
        <w:rPr>
          <w:rFonts w:ascii="Times New Roman" w:hAnsi="Times New Roman" w:cs="Times New Roman" w:hint="eastAsia"/>
          <w:sz w:val="20"/>
          <w:szCs w:val="20"/>
          <w:lang w:val="en-GB"/>
        </w:rPr>
        <w:lastRenderedPageBreak/>
        <w:t>R</w:t>
      </w:r>
      <w:r>
        <w:rPr>
          <w:rFonts w:ascii="Times New Roman" w:hAnsi="Times New Roman" w:cs="Times New Roman"/>
          <w:sz w:val="20"/>
          <w:szCs w:val="20"/>
          <w:lang w:val="en-GB"/>
        </w:rPr>
        <w:t>AN4 was agreed to introduce a new term for additional time for RF/BB preparation and retuning time for PDCCH ordered PRACH on target cell before cell switch.</w:t>
      </w:r>
      <w:r w:rsidR="0063025B">
        <w:rPr>
          <w:rFonts w:ascii="Times New Roman" w:hAnsi="Times New Roman" w:cs="Times New Roman"/>
          <w:sz w:val="20"/>
          <w:szCs w:val="20"/>
          <w:lang w:val="en-GB"/>
        </w:rPr>
        <w:t xml:space="preserve"> In case RACH occasion of target cell is out of active BWP, the UE needs to retune its RF chain to the target cell for RACH transmission and then retune it back to serving cell. </w:t>
      </w:r>
      <w:r w:rsidR="004E17D6">
        <w:rPr>
          <w:rFonts w:ascii="Times New Roman" w:hAnsi="Times New Roman" w:cs="Times New Roman"/>
          <w:sz w:val="20"/>
          <w:szCs w:val="20"/>
          <w:lang w:val="en-GB"/>
        </w:rPr>
        <w:t xml:space="preserve">The interruption on PCell/PSCell or activated SCell(s) can be up to </w:t>
      </w:r>
      <w:r w:rsidR="000D3472">
        <w:rPr>
          <w:rFonts w:ascii="Times New Roman" w:hAnsi="Times New Roman" w:cs="Times New Roman"/>
          <w:sz w:val="20"/>
          <w:szCs w:val="20"/>
          <w:lang w:val="en-GB"/>
        </w:rPr>
        <w:t>2*X slots</w:t>
      </w:r>
      <w:r w:rsidR="004E17D6">
        <w:rPr>
          <w:rFonts w:ascii="Times New Roman" w:hAnsi="Times New Roman" w:cs="Times New Roman"/>
          <w:sz w:val="20"/>
          <w:szCs w:val="20"/>
          <w:lang w:val="en-GB"/>
        </w:rPr>
        <w:t xml:space="preserve"> plus the RO duration for each RACH transmission</w:t>
      </w:r>
      <w:r w:rsidR="000D3472">
        <w:rPr>
          <w:rFonts w:ascii="Times New Roman" w:hAnsi="Times New Roman" w:cs="Times New Roman"/>
          <w:sz w:val="20"/>
          <w:szCs w:val="20"/>
          <w:lang w:val="en-GB"/>
        </w:rPr>
        <w:t xml:space="preserve">, </w:t>
      </w:r>
      <w:r w:rsidR="00AD2060">
        <w:rPr>
          <w:rFonts w:ascii="Times New Roman" w:hAnsi="Times New Roman" w:cs="Times New Roman"/>
          <w:sz w:val="20"/>
          <w:szCs w:val="20"/>
          <w:lang w:val="en-GB"/>
        </w:rPr>
        <w:t xml:space="preserve">and the interruption should be occurred no earlier than X slots before the RO duration and no later than X slots after the RO duration, </w:t>
      </w:r>
      <w:r w:rsidR="000D3472">
        <w:rPr>
          <w:rFonts w:ascii="Times New Roman" w:hAnsi="Times New Roman" w:cs="Times New Roman"/>
          <w:sz w:val="20"/>
          <w:szCs w:val="20"/>
          <w:lang w:val="en-GB"/>
        </w:rPr>
        <w:t xml:space="preserve">where X is the interruption length defined in </w:t>
      </w:r>
      <w:r w:rsidR="000D3472" w:rsidRPr="000D3472">
        <w:rPr>
          <w:rFonts w:ascii="Times New Roman" w:hAnsi="Times New Roman" w:cs="Times New Roman"/>
          <w:sz w:val="20"/>
          <w:szCs w:val="20"/>
          <w:lang w:val="en-GB"/>
        </w:rPr>
        <w:t>Table 8.2.2.2.2-1</w:t>
      </w:r>
      <w:r w:rsidR="000D3472">
        <w:rPr>
          <w:rFonts w:ascii="Times New Roman" w:hAnsi="Times New Roman" w:cs="Times New Roman"/>
          <w:sz w:val="20"/>
          <w:szCs w:val="20"/>
          <w:lang w:val="en-GB"/>
        </w:rPr>
        <w:t>.</w:t>
      </w:r>
    </w:p>
    <w:p w:rsidR="00494A92" w:rsidRPr="00C463BD" w:rsidRDefault="00AD2060" w:rsidP="00DF7260">
      <w:pPr>
        <w:rPr>
          <w:rFonts w:ascii="Times New Roman" w:hAnsi="Times New Roman" w:cs="Times New Roman"/>
          <w:b/>
          <w:sz w:val="20"/>
          <w:szCs w:val="20"/>
          <w:lang w:val="en-GB"/>
        </w:rPr>
      </w:pPr>
      <w:r w:rsidRPr="00DF7260">
        <w:rPr>
          <w:rFonts w:ascii="Times New Roman" w:hAnsi="Times New Roman" w:cs="Times New Roman" w:hint="eastAsia"/>
          <w:b/>
          <w:sz w:val="20"/>
          <w:szCs w:val="20"/>
          <w:lang w:val="en-GB"/>
        </w:rPr>
        <w:t>P</w:t>
      </w:r>
      <w:r w:rsidRPr="00DF7260">
        <w:rPr>
          <w:rFonts w:ascii="Times New Roman" w:hAnsi="Times New Roman" w:cs="Times New Roman"/>
          <w:b/>
          <w:sz w:val="20"/>
          <w:szCs w:val="20"/>
          <w:lang w:val="en-GB"/>
        </w:rPr>
        <w:t>roposal 3: The UE is allowed to cause an interruption on PCell/PSCell or activated SCell(s) up to 2*X slots + T</w:t>
      </w:r>
      <w:r w:rsidRPr="00DF7260">
        <w:rPr>
          <w:rFonts w:ascii="Times New Roman" w:hAnsi="Times New Roman" w:cs="Times New Roman"/>
          <w:b/>
          <w:sz w:val="20"/>
          <w:szCs w:val="20"/>
          <w:vertAlign w:val="subscript"/>
          <w:lang w:val="en-GB"/>
        </w:rPr>
        <w:t>RO_duration</w:t>
      </w:r>
      <w:r w:rsidRPr="00DF7260">
        <w:rPr>
          <w:rFonts w:ascii="Times New Roman" w:hAnsi="Times New Roman" w:cs="Times New Roman"/>
          <w:b/>
          <w:sz w:val="20"/>
          <w:szCs w:val="20"/>
          <w:lang w:val="en-GB"/>
        </w:rPr>
        <w:t xml:space="preserve">, where the interruption is no earlier than </w:t>
      </w:r>
      <w:r w:rsidR="00DF7260" w:rsidRPr="00DF7260">
        <w:rPr>
          <w:rFonts w:ascii="Times New Roman" w:hAnsi="Times New Roman" w:cs="Times New Roman"/>
          <w:b/>
          <w:sz w:val="20"/>
          <w:szCs w:val="20"/>
          <w:lang w:val="en-GB"/>
        </w:rPr>
        <w:t>X slots before T</w:t>
      </w:r>
      <w:r w:rsidR="00DF7260" w:rsidRPr="00DF7260">
        <w:rPr>
          <w:rFonts w:ascii="Times New Roman" w:hAnsi="Times New Roman" w:cs="Times New Roman"/>
          <w:b/>
          <w:sz w:val="20"/>
          <w:szCs w:val="20"/>
          <w:vertAlign w:val="subscript"/>
          <w:lang w:val="en-GB"/>
        </w:rPr>
        <w:t>RO_duration</w:t>
      </w:r>
      <w:r w:rsidR="00DF7260" w:rsidRPr="00DF7260">
        <w:rPr>
          <w:rFonts w:ascii="Times New Roman" w:hAnsi="Times New Roman" w:cs="Times New Roman"/>
          <w:b/>
          <w:sz w:val="20"/>
          <w:szCs w:val="20"/>
          <w:lang w:val="en-GB"/>
        </w:rPr>
        <w:t xml:space="preserve"> and no later than X slots after T</w:t>
      </w:r>
      <w:r w:rsidR="00DF7260" w:rsidRPr="00DF7260">
        <w:rPr>
          <w:rFonts w:ascii="Times New Roman" w:hAnsi="Times New Roman" w:cs="Times New Roman"/>
          <w:b/>
          <w:sz w:val="20"/>
          <w:szCs w:val="20"/>
          <w:vertAlign w:val="subscript"/>
          <w:lang w:val="en-GB"/>
        </w:rPr>
        <w:t>RO_duration</w:t>
      </w:r>
      <w:r w:rsidR="00DF7260" w:rsidRPr="00DF7260">
        <w:rPr>
          <w:rFonts w:ascii="Times New Roman" w:hAnsi="Times New Roman" w:cs="Times New Roman"/>
          <w:b/>
          <w:sz w:val="20"/>
          <w:szCs w:val="20"/>
          <w:lang w:val="en-GB"/>
        </w:rPr>
        <w:t>, where T</w:t>
      </w:r>
      <w:r w:rsidR="00DF7260" w:rsidRPr="00DF7260">
        <w:rPr>
          <w:rFonts w:ascii="Times New Roman" w:hAnsi="Times New Roman" w:cs="Times New Roman"/>
          <w:b/>
          <w:sz w:val="20"/>
          <w:szCs w:val="20"/>
          <w:vertAlign w:val="subscript"/>
          <w:lang w:val="en-GB"/>
        </w:rPr>
        <w:t>RO_duration</w:t>
      </w:r>
      <w:r w:rsidR="00DF7260" w:rsidRPr="00DF7260">
        <w:rPr>
          <w:rFonts w:ascii="Times New Roman" w:hAnsi="Times New Roman" w:cs="Times New Roman"/>
          <w:b/>
          <w:sz w:val="20"/>
          <w:szCs w:val="20"/>
          <w:lang w:val="en-GB"/>
        </w:rPr>
        <w:t xml:space="preserve"> is the RO duration, and X is the interruption length defined in Table 8.2.2.2.2-1.</w:t>
      </w:r>
    </w:p>
    <w:p w:rsidR="00883B49" w:rsidRPr="00261A53" w:rsidRDefault="00883B49" w:rsidP="00261A53">
      <w:pPr>
        <w:pStyle w:val="1"/>
        <w:numPr>
          <w:ilvl w:val="0"/>
          <w:numId w:val="2"/>
        </w:numPr>
        <w:spacing w:after="0"/>
        <w:ind w:left="0" w:firstLine="0"/>
        <w:rPr>
          <w:rFonts w:eastAsia="Times New Roman" w:cs="Times New Roman"/>
          <w:color w:val="auto"/>
          <w:kern w:val="0"/>
        </w:rPr>
      </w:pPr>
      <w:r>
        <w:rPr>
          <w:rFonts w:eastAsia="Times New Roman" w:cs="Times New Roman"/>
          <w:color w:val="auto"/>
          <w:kern w:val="0"/>
        </w:rPr>
        <w:lastRenderedPageBreak/>
        <w:t>Conclusion</w:t>
      </w:r>
    </w:p>
    <w:p w:rsidR="00D851E7" w:rsidRDefault="00BA0ADE" w:rsidP="006A69F0">
      <w:pPr>
        <w:rPr>
          <w:rFonts w:ascii="Times New Roman" w:hAnsi="Times New Roman" w:cs="Times New Roman"/>
          <w:sz w:val="20"/>
          <w:szCs w:val="20"/>
        </w:rPr>
      </w:pPr>
      <w:r>
        <w:rPr>
          <w:rFonts w:ascii="Times New Roman" w:hAnsi="Times New Roman" w:cs="Times New Roman"/>
          <w:sz w:val="20"/>
          <w:szCs w:val="20"/>
        </w:rPr>
        <w:t xml:space="preserve">In this contribution, we discuss the </w:t>
      </w:r>
      <w:r w:rsidR="00F57234">
        <w:rPr>
          <w:rFonts w:ascii="Times New Roman" w:hAnsi="Times New Roman" w:cs="Times New Roman"/>
          <w:sz w:val="20"/>
          <w:szCs w:val="20"/>
        </w:rPr>
        <w:t>general aspects and scenarios for L1/L2 based inter-cell mobility</w:t>
      </w:r>
      <w:r>
        <w:rPr>
          <w:rFonts w:ascii="Times New Roman" w:hAnsi="Times New Roman" w:cs="Times New Roman"/>
          <w:sz w:val="20"/>
          <w:szCs w:val="20"/>
        </w:rPr>
        <w:t xml:space="preserve"> </w:t>
      </w:r>
      <w:r w:rsidR="00883B49">
        <w:rPr>
          <w:rFonts w:ascii="Times New Roman" w:hAnsi="Times New Roman" w:cs="Times New Roman"/>
          <w:sz w:val="20"/>
          <w:szCs w:val="20"/>
        </w:rPr>
        <w:t xml:space="preserve">and provide our </w:t>
      </w:r>
      <w:r w:rsidR="00BA5919">
        <w:rPr>
          <w:rFonts w:ascii="Times New Roman" w:hAnsi="Times New Roman" w:cs="Times New Roman"/>
          <w:sz w:val="20"/>
          <w:szCs w:val="20"/>
        </w:rPr>
        <w:t>proposals</w:t>
      </w:r>
      <w:r w:rsidR="00416279">
        <w:rPr>
          <w:rFonts w:ascii="Times New Roman" w:hAnsi="Times New Roman" w:cs="Times New Roman"/>
          <w:sz w:val="20"/>
          <w:szCs w:val="20"/>
        </w:rPr>
        <w:t xml:space="preserve"> as follows</w:t>
      </w:r>
      <w:r w:rsidR="00883B49">
        <w:rPr>
          <w:rFonts w:ascii="Times New Roman" w:hAnsi="Times New Roman" w:cs="Times New Roman"/>
          <w:sz w:val="20"/>
          <w:szCs w:val="20"/>
        </w:rPr>
        <w:t>.</w:t>
      </w:r>
    </w:p>
    <w:p w:rsidR="0005495A" w:rsidRPr="002E3F3F" w:rsidRDefault="0005495A" w:rsidP="0005495A">
      <w:pPr>
        <w:spacing w:after="240"/>
        <w:rPr>
          <w:rFonts w:ascii="Times New Roman" w:hAnsi="Times New Roman" w:cs="Times New Roman"/>
          <w:b/>
          <w:sz w:val="20"/>
          <w:szCs w:val="20"/>
          <w:lang w:val="en-GB"/>
        </w:rPr>
      </w:pPr>
      <w:r>
        <w:rPr>
          <w:rFonts w:ascii="Times New Roman" w:hAnsi="Times New Roman" w:cs="Times New Roman"/>
          <w:b/>
          <w:sz w:val="20"/>
          <w:szCs w:val="20"/>
          <w:lang w:val="en-GB"/>
        </w:rPr>
        <w:t>Proposal 1</w:t>
      </w:r>
      <w:r w:rsidRPr="00200837">
        <w:rPr>
          <w:rFonts w:ascii="Times New Roman" w:hAnsi="Times New Roman" w:cs="Times New Roman"/>
          <w:b/>
          <w:sz w:val="20"/>
          <w:szCs w:val="20"/>
          <w:lang w:val="en-GB"/>
        </w:rPr>
        <w:t xml:space="preserve">: </w:t>
      </w:r>
      <w:r w:rsidRPr="00870078">
        <w:rPr>
          <w:rFonts w:ascii="Times New Roman" w:hAnsi="Times New Roman" w:cs="Times New Roman"/>
          <w:b/>
          <w:sz w:val="20"/>
          <w:szCs w:val="20"/>
          <w:lang w:val="en-GB"/>
        </w:rPr>
        <w:t>If ‘</w:t>
      </w:r>
      <w:r w:rsidRPr="00870078">
        <w:rPr>
          <w:rFonts w:ascii="Times New Roman" w:hAnsi="Times New Roman" w:cs="Times New Roman"/>
          <w:b/>
          <w:i/>
          <w:sz w:val="20"/>
          <w:szCs w:val="20"/>
          <w:lang w:val="en-GB"/>
        </w:rPr>
        <w:t>deriveSSB-IndexFromCell</w:t>
      </w:r>
      <w:r w:rsidRPr="00870078">
        <w:rPr>
          <w:rFonts w:ascii="Times New Roman" w:hAnsi="Times New Roman" w:cs="Times New Roman"/>
          <w:b/>
          <w:sz w:val="20"/>
          <w:szCs w:val="20"/>
          <w:lang w:val="en-GB"/>
        </w:rPr>
        <w:t>’ or ‘</w:t>
      </w:r>
      <w:r w:rsidRPr="00870078">
        <w:rPr>
          <w:rFonts w:ascii="Times New Roman" w:hAnsi="Times New Roman" w:cs="Times New Roman"/>
          <w:b/>
          <w:i/>
          <w:sz w:val="20"/>
          <w:szCs w:val="20"/>
          <w:lang w:val="en-GB"/>
        </w:rPr>
        <w:t>deriveSSB-IndexFromCellInter-r17</w:t>
      </w:r>
      <w:r w:rsidRPr="00870078">
        <w:rPr>
          <w:rFonts w:ascii="Times New Roman" w:hAnsi="Times New Roman" w:cs="Times New Roman"/>
          <w:b/>
          <w:sz w:val="20"/>
          <w:szCs w:val="20"/>
          <w:lang w:val="en-GB"/>
        </w:rPr>
        <w:t>’ is enabled,</w:t>
      </w:r>
      <w:r>
        <w:rPr>
          <w:rFonts w:ascii="Times New Roman" w:hAnsi="Times New Roman" w:cs="Times New Roman"/>
          <w:b/>
          <w:sz w:val="20"/>
          <w:szCs w:val="20"/>
          <w:lang w:val="en-GB"/>
        </w:rPr>
        <w:t xml:space="preserve"> SFN level alignment is assumed,</w:t>
      </w:r>
      <w:r w:rsidRPr="00870078">
        <w:rPr>
          <w:rFonts w:ascii="Times New Roman" w:hAnsi="Times New Roman" w:cs="Times New Roman"/>
          <w:b/>
          <w:sz w:val="20"/>
          <w:szCs w:val="20"/>
          <w:lang w:val="en-GB"/>
        </w:rPr>
        <w:t xml:space="preserve"> </w:t>
      </w:r>
      <w:r>
        <w:rPr>
          <w:rFonts w:ascii="Times New Roman" w:hAnsi="Times New Roman" w:cs="Times New Roman"/>
          <w:b/>
          <w:sz w:val="20"/>
          <w:szCs w:val="20"/>
          <w:lang w:val="en-GB"/>
        </w:rPr>
        <w:t>o</w:t>
      </w:r>
      <w:r w:rsidRPr="00870078">
        <w:rPr>
          <w:rFonts w:ascii="Times New Roman" w:hAnsi="Times New Roman" w:cs="Times New Roman"/>
          <w:b/>
          <w:sz w:val="20"/>
          <w:szCs w:val="20"/>
          <w:lang w:val="en-GB"/>
        </w:rPr>
        <w:t>therwise,</w:t>
      </w:r>
      <w:r w:rsidRPr="00870078">
        <w:t xml:space="preserve"> </w:t>
      </w:r>
      <w:r w:rsidRPr="00870078">
        <w:rPr>
          <w:rFonts w:ascii="Times New Roman" w:hAnsi="Times New Roman" w:cs="Times New Roman"/>
          <w:b/>
          <w:sz w:val="20"/>
          <w:szCs w:val="20"/>
          <w:lang w:val="en-GB"/>
        </w:rPr>
        <w:t>UE need</w:t>
      </w:r>
      <w:r>
        <w:rPr>
          <w:rFonts w:ascii="Times New Roman" w:hAnsi="Times New Roman" w:cs="Times New Roman"/>
          <w:b/>
          <w:sz w:val="20"/>
          <w:szCs w:val="20"/>
          <w:lang w:val="en-GB"/>
        </w:rPr>
        <w:t>s</w:t>
      </w:r>
      <w:r w:rsidRPr="00870078">
        <w:rPr>
          <w:rFonts w:ascii="Times New Roman" w:hAnsi="Times New Roman" w:cs="Times New Roman"/>
          <w:b/>
          <w:sz w:val="20"/>
          <w:szCs w:val="20"/>
          <w:lang w:val="en-GB"/>
        </w:rPr>
        <w:t xml:space="preserve"> to acquire target cell SFN by reading MIB</w:t>
      </w:r>
      <w:r>
        <w:rPr>
          <w:rFonts w:ascii="Times New Roman" w:hAnsi="Times New Roman" w:cs="Times New Roman"/>
          <w:b/>
          <w:sz w:val="20"/>
          <w:szCs w:val="20"/>
          <w:lang w:val="en-GB"/>
        </w:rPr>
        <w:t>, and the</w:t>
      </w:r>
      <w:r w:rsidRPr="00870078">
        <w:t xml:space="preserve"> </w:t>
      </w:r>
      <w:r w:rsidRPr="00870078">
        <w:rPr>
          <w:rFonts w:ascii="Times New Roman" w:hAnsi="Times New Roman" w:cs="Times New Roman"/>
          <w:b/>
          <w:sz w:val="20"/>
          <w:szCs w:val="20"/>
          <w:lang w:val="en-GB"/>
        </w:rPr>
        <w:t xml:space="preserve">legacy delay requirement of SFN acquisition defined in </w:t>
      </w:r>
      <w:r w:rsidRPr="00870078">
        <w:rPr>
          <w:rFonts w:ascii="Times New Roman" w:hAnsi="Times New Roman" w:cs="Times New Roman"/>
          <w:b/>
          <w:sz w:val="20"/>
          <w:szCs w:val="20"/>
        </w:rPr>
        <w:t>table 9.10.2.5-3 or Table 9.10.3.5-3 or T</w:t>
      </w:r>
      <w:r w:rsidRPr="00870078">
        <w:rPr>
          <w:rFonts w:ascii="Times New Roman" w:hAnsi="Times New Roman" w:cs="Times New Roman"/>
          <w:b/>
          <w:sz w:val="20"/>
          <w:szCs w:val="20"/>
          <w:vertAlign w:val="subscript"/>
        </w:rPr>
        <w:t>SSB_time_index_inter</w:t>
      </w:r>
      <w:r w:rsidRPr="00870078">
        <w:rPr>
          <w:rFonts w:ascii="Times New Roman" w:hAnsi="Times New Roman" w:cs="Times New Roman"/>
          <w:b/>
          <w:sz w:val="20"/>
          <w:szCs w:val="20"/>
        </w:rPr>
        <w:t xml:space="preserve"> in Clause 9.3.4 applies</w:t>
      </w:r>
      <w:r w:rsidRPr="00870078">
        <w:rPr>
          <w:rFonts w:ascii="Times New Roman" w:hAnsi="Times New Roman" w:cs="Times New Roman"/>
          <w:b/>
          <w:sz w:val="20"/>
          <w:szCs w:val="20"/>
          <w:lang w:val="en-GB"/>
        </w:rPr>
        <w:t>.</w:t>
      </w:r>
    </w:p>
    <w:p w:rsidR="00C22270" w:rsidRDefault="00C22270" w:rsidP="00C22270">
      <w:pPr>
        <w:spacing w:after="240"/>
        <w:rPr>
          <w:rFonts w:ascii="Times New Roman" w:hAnsi="Times New Roman" w:cs="Times New Roman"/>
          <w:b/>
          <w:sz w:val="20"/>
          <w:szCs w:val="20"/>
          <w:lang w:val="en-GB"/>
        </w:rPr>
      </w:pPr>
      <w:r>
        <w:rPr>
          <w:rFonts w:ascii="Times New Roman" w:hAnsi="Times New Roman" w:cs="Times New Roman"/>
          <w:b/>
          <w:sz w:val="20"/>
          <w:szCs w:val="20"/>
          <w:lang w:val="en-GB"/>
        </w:rPr>
        <w:t>Proposal 2</w:t>
      </w:r>
      <w:r w:rsidRPr="00200837">
        <w:rPr>
          <w:rFonts w:ascii="Times New Roman" w:hAnsi="Times New Roman" w:cs="Times New Roman"/>
          <w:b/>
          <w:sz w:val="20"/>
          <w:szCs w:val="20"/>
          <w:lang w:val="en-GB"/>
        </w:rPr>
        <w:t xml:space="preserve">: </w:t>
      </w:r>
      <w:r w:rsidRPr="000324CA">
        <w:rPr>
          <w:rFonts w:ascii="Times New Roman" w:hAnsi="Times New Roman" w:cs="Times New Roman"/>
          <w:b/>
          <w:sz w:val="20"/>
          <w:szCs w:val="20"/>
          <w:lang w:val="en-GB"/>
        </w:rPr>
        <w:t xml:space="preserve">RAN4 </w:t>
      </w:r>
      <w:r>
        <w:rPr>
          <w:rFonts w:ascii="Times New Roman" w:hAnsi="Times New Roman" w:cs="Times New Roman"/>
          <w:b/>
          <w:sz w:val="20"/>
          <w:szCs w:val="20"/>
          <w:lang w:val="en-GB"/>
        </w:rPr>
        <w:t>to</w:t>
      </w:r>
      <w:r w:rsidRPr="000324CA">
        <w:rPr>
          <w:rFonts w:ascii="Times New Roman" w:hAnsi="Times New Roman" w:cs="Times New Roman"/>
          <w:b/>
          <w:sz w:val="20"/>
          <w:szCs w:val="20"/>
          <w:lang w:val="en-GB"/>
        </w:rPr>
        <w:t xml:space="preserve"> define a new UE capability </w:t>
      </w:r>
      <w:r>
        <w:rPr>
          <w:rFonts w:ascii="Times New Roman" w:hAnsi="Times New Roman" w:cs="Times New Roman"/>
          <w:b/>
          <w:sz w:val="20"/>
          <w:szCs w:val="20"/>
          <w:lang w:val="en-GB"/>
        </w:rPr>
        <w:t>to support TCI state activation on more than one candidate cells</w:t>
      </w:r>
      <w:r w:rsidRPr="00870078">
        <w:rPr>
          <w:rFonts w:ascii="Times New Roman" w:hAnsi="Times New Roman" w:cs="Times New Roman"/>
          <w:b/>
          <w:sz w:val="20"/>
          <w:szCs w:val="20"/>
          <w:lang w:val="en-GB"/>
        </w:rPr>
        <w:t>.</w:t>
      </w:r>
    </w:p>
    <w:p w:rsidR="00DF7260" w:rsidRPr="00C463BD" w:rsidRDefault="00DF7260" w:rsidP="00DF7260">
      <w:pPr>
        <w:rPr>
          <w:rFonts w:ascii="Times New Roman" w:hAnsi="Times New Roman" w:cs="Times New Roman"/>
          <w:b/>
          <w:sz w:val="20"/>
          <w:szCs w:val="20"/>
          <w:lang w:val="en-GB"/>
        </w:rPr>
      </w:pPr>
      <w:r w:rsidRPr="00DF7260">
        <w:rPr>
          <w:rFonts w:ascii="Times New Roman" w:hAnsi="Times New Roman" w:cs="Times New Roman" w:hint="eastAsia"/>
          <w:b/>
          <w:sz w:val="20"/>
          <w:szCs w:val="20"/>
          <w:lang w:val="en-GB"/>
        </w:rPr>
        <w:t>P</w:t>
      </w:r>
      <w:r w:rsidRPr="00DF7260">
        <w:rPr>
          <w:rFonts w:ascii="Times New Roman" w:hAnsi="Times New Roman" w:cs="Times New Roman"/>
          <w:b/>
          <w:sz w:val="20"/>
          <w:szCs w:val="20"/>
          <w:lang w:val="en-GB"/>
        </w:rPr>
        <w:t>roposal 3: The UE is allowed to cause an interruption on PCell/PSCell or activated SCell(s) up to 2*X slots + T</w:t>
      </w:r>
      <w:r w:rsidRPr="00DF7260">
        <w:rPr>
          <w:rFonts w:ascii="Times New Roman" w:hAnsi="Times New Roman" w:cs="Times New Roman"/>
          <w:b/>
          <w:sz w:val="20"/>
          <w:szCs w:val="20"/>
          <w:vertAlign w:val="subscript"/>
          <w:lang w:val="en-GB"/>
        </w:rPr>
        <w:t>RO_duration</w:t>
      </w:r>
      <w:r w:rsidRPr="00DF7260">
        <w:rPr>
          <w:rFonts w:ascii="Times New Roman" w:hAnsi="Times New Roman" w:cs="Times New Roman"/>
          <w:b/>
          <w:sz w:val="20"/>
          <w:szCs w:val="20"/>
          <w:lang w:val="en-GB"/>
        </w:rPr>
        <w:t>, where the interruption is no earlier than X slots before T</w:t>
      </w:r>
      <w:r w:rsidRPr="00DF7260">
        <w:rPr>
          <w:rFonts w:ascii="Times New Roman" w:hAnsi="Times New Roman" w:cs="Times New Roman"/>
          <w:b/>
          <w:sz w:val="20"/>
          <w:szCs w:val="20"/>
          <w:vertAlign w:val="subscript"/>
          <w:lang w:val="en-GB"/>
        </w:rPr>
        <w:t>RO_duration</w:t>
      </w:r>
      <w:r w:rsidRPr="00DF7260">
        <w:rPr>
          <w:rFonts w:ascii="Times New Roman" w:hAnsi="Times New Roman" w:cs="Times New Roman"/>
          <w:b/>
          <w:sz w:val="20"/>
          <w:szCs w:val="20"/>
          <w:lang w:val="en-GB"/>
        </w:rPr>
        <w:t xml:space="preserve"> and no later than X slots after T</w:t>
      </w:r>
      <w:r w:rsidRPr="00DF7260">
        <w:rPr>
          <w:rFonts w:ascii="Times New Roman" w:hAnsi="Times New Roman" w:cs="Times New Roman"/>
          <w:b/>
          <w:sz w:val="20"/>
          <w:szCs w:val="20"/>
          <w:vertAlign w:val="subscript"/>
          <w:lang w:val="en-GB"/>
        </w:rPr>
        <w:t>RO_duration</w:t>
      </w:r>
      <w:r w:rsidRPr="00DF7260">
        <w:rPr>
          <w:rFonts w:ascii="Times New Roman" w:hAnsi="Times New Roman" w:cs="Times New Roman"/>
          <w:b/>
          <w:sz w:val="20"/>
          <w:szCs w:val="20"/>
          <w:lang w:val="en-GB"/>
        </w:rPr>
        <w:t>, where T</w:t>
      </w:r>
      <w:r w:rsidRPr="00DF7260">
        <w:rPr>
          <w:rFonts w:ascii="Times New Roman" w:hAnsi="Times New Roman" w:cs="Times New Roman"/>
          <w:b/>
          <w:sz w:val="20"/>
          <w:szCs w:val="20"/>
          <w:vertAlign w:val="subscript"/>
          <w:lang w:val="en-GB"/>
        </w:rPr>
        <w:t>RO_duration</w:t>
      </w:r>
      <w:r w:rsidRPr="00DF7260">
        <w:rPr>
          <w:rFonts w:ascii="Times New Roman" w:hAnsi="Times New Roman" w:cs="Times New Roman"/>
          <w:b/>
          <w:sz w:val="20"/>
          <w:szCs w:val="20"/>
          <w:lang w:val="en-GB"/>
        </w:rPr>
        <w:t xml:space="preserve"> is the RO duration, and X is the the interruption length defined in Table 8.2.2.2.2-1.</w:t>
      </w:r>
    </w:p>
    <w:p w:rsidR="00883B49" w:rsidRPr="00261A53" w:rsidRDefault="00883B49" w:rsidP="00261A53">
      <w:pPr>
        <w:pStyle w:val="1"/>
        <w:numPr>
          <w:ilvl w:val="0"/>
          <w:numId w:val="2"/>
        </w:numPr>
        <w:spacing w:after="0"/>
        <w:ind w:left="0" w:firstLine="0"/>
        <w:rPr>
          <w:rFonts w:eastAsia="Times New Roman" w:cs="Times New Roman"/>
          <w:color w:val="auto"/>
          <w:kern w:val="0"/>
        </w:rPr>
      </w:pPr>
      <w:r>
        <w:rPr>
          <w:rFonts w:eastAsia="Times New Roman" w:cs="Times New Roman"/>
          <w:color w:val="auto"/>
          <w:kern w:val="0"/>
        </w:rPr>
        <w:t>Reference</w:t>
      </w:r>
    </w:p>
    <w:p w:rsidR="00342670" w:rsidRDefault="00883B49" w:rsidP="00C436FD">
      <w:pPr>
        <w:ind w:left="420" w:hanging="420"/>
        <w:rPr>
          <w:rFonts w:ascii="Times New Roman" w:hAnsi="Times New Roman" w:cs="Times New Roman"/>
          <w:sz w:val="20"/>
          <w:szCs w:val="20"/>
        </w:rPr>
      </w:pPr>
      <w:r>
        <w:rPr>
          <w:rFonts w:ascii="Times New Roman" w:hAnsi="Times New Roman" w:cs="Times New Roman" w:hint="eastAsia"/>
          <w:sz w:val="20"/>
          <w:szCs w:val="20"/>
        </w:rPr>
        <w:t>[</w:t>
      </w:r>
      <w:r w:rsidR="00FB2E57">
        <w:rPr>
          <w:rFonts w:ascii="Times New Roman" w:hAnsi="Times New Roman" w:cs="Times New Roman"/>
          <w:sz w:val="20"/>
          <w:szCs w:val="20"/>
        </w:rPr>
        <w:t>1</w:t>
      </w:r>
      <w:r w:rsidR="00F82516">
        <w:rPr>
          <w:rFonts w:ascii="Times New Roman" w:hAnsi="Times New Roman" w:cs="Times New Roman"/>
          <w:sz w:val="20"/>
          <w:szCs w:val="20"/>
        </w:rPr>
        <w:t>]</w:t>
      </w:r>
      <w:r w:rsidR="00F82516">
        <w:rPr>
          <w:rFonts w:ascii="Times New Roman" w:hAnsi="Times New Roman" w:cs="Times New Roman"/>
          <w:sz w:val="20"/>
          <w:szCs w:val="20"/>
        </w:rPr>
        <w:tab/>
        <w:t>R4</w:t>
      </w:r>
      <w:r>
        <w:rPr>
          <w:rFonts w:ascii="Times New Roman" w:hAnsi="Times New Roman" w:cs="Times New Roman"/>
          <w:sz w:val="20"/>
          <w:szCs w:val="20"/>
        </w:rPr>
        <w:t>-</w:t>
      </w:r>
      <w:r w:rsidR="00F82516">
        <w:rPr>
          <w:rFonts w:ascii="Times New Roman" w:hAnsi="Times New Roman" w:cs="Times New Roman"/>
          <w:sz w:val="20"/>
          <w:szCs w:val="20"/>
        </w:rPr>
        <w:t>2</w:t>
      </w:r>
      <w:r w:rsidR="00A616A0">
        <w:rPr>
          <w:rFonts w:ascii="Times New Roman" w:hAnsi="Times New Roman" w:cs="Times New Roman"/>
          <w:sz w:val="20"/>
          <w:szCs w:val="20"/>
        </w:rPr>
        <w:t>3</w:t>
      </w:r>
      <w:r w:rsidR="00BB0809">
        <w:rPr>
          <w:rFonts w:ascii="Times New Roman" w:hAnsi="Times New Roman" w:cs="Times New Roman"/>
          <w:sz w:val="20"/>
          <w:szCs w:val="20"/>
        </w:rPr>
        <w:t>1</w:t>
      </w:r>
      <w:r w:rsidR="00DF7260">
        <w:rPr>
          <w:rFonts w:ascii="Times New Roman" w:hAnsi="Times New Roman" w:cs="Times New Roman"/>
          <w:sz w:val="20"/>
          <w:szCs w:val="20"/>
        </w:rPr>
        <w:t>4453</w:t>
      </w:r>
      <w:r>
        <w:rPr>
          <w:rFonts w:ascii="Times New Roman" w:hAnsi="Times New Roman" w:cs="Times New Roman"/>
          <w:sz w:val="20"/>
          <w:szCs w:val="20"/>
        </w:rPr>
        <w:tab/>
      </w:r>
      <w:r w:rsidR="00BB0809" w:rsidRPr="00BB0809">
        <w:rPr>
          <w:rFonts w:ascii="Times New Roman" w:hAnsi="Times New Roman" w:cs="Times New Roman"/>
          <w:sz w:val="20"/>
          <w:szCs w:val="20"/>
        </w:rPr>
        <w:t>WF on NR mobility enhancements (part 1)</w:t>
      </w:r>
      <w:r w:rsidR="00076628" w:rsidRPr="00076628">
        <w:rPr>
          <w:rFonts w:ascii="Times New Roman" w:hAnsi="Times New Roman" w:cs="Times New Roman"/>
          <w:sz w:val="20"/>
          <w:szCs w:val="20"/>
        </w:rPr>
        <w:t>,</w:t>
      </w:r>
      <w:r w:rsidR="00EC5D81">
        <w:rPr>
          <w:rFonts w:ascii="Times New Roman" w:hAnsi="Times New Roman" w:cs="Times New Roman"/>
          <w:sz w:val="20"/>
          <w:szCs w:val="20"/>
        </w:rPr>
        <w:tab/>
      </w:r>
      <w:r w:rsidR="00076628">
        <w:rPr>
          <w:rFonts w:ascii="Times New Roman" w:hAnsi="Times New Roman" w:cs="Times New Roman"/>
          <w:sz w:val="20"/>
          <w:szCs w:val="20"/>
        </w:rPr>
        <w:t>MediaTek</w:t>
      </w:r>
    </w:p>
    <w:p w:rsidR="005B02B3" w:rsidRPr="002B3D5A" w:rsidRDefault="005B02B3" w:rsidP="005B02B3">
      <w:pPr>
        <w:ind w:left="420" w:rightChars="-297" w:right="-624" w:hanging="420"/>
        <w:rPr>
          <w:rFonts w:ascii="Times New Roman" w:hAnsi="Times New Roman" w:cs="Times New Roman"/>
          <w:sz w:val="20"/>
          <w:szCs w:val="20"/>
        </w:rPr>
      </w:pPr>
    </w:p>
    <w:sectPr w:rsidR="005B02B3" w:rsidRPr="002B3D5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13A33" w:rsidRDefault="00C13A33" w:rsidP="0054389C">
      <w:r>
        <w:separator/>
      </w:r>
    </w:p>
  </w:endnote>
  <w:endnote w:type="continuationSeparator" w:id="0">
    <w:p w:rsidR="00C13A33" w:rsidRDefault="00C13A33" w:rsidP="005438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00000000"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13A33" w:rsidRDefault="00C13A33" w:rsidP="0054389C">
      <w:r>
        <w:separator/>
      </w:r>
    </w:p>
  </w:footnote>
  <w:footnote w:type="continuationSeparator" w:id="0">
    <w:p w:rsidR="00C13A33" w:rsidRDefault="00C13A33" w:rsidP="005438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02955"/>
    <w:multiLevelType w:val="hybridMultilevel"/>
    <w:tmpl w:val="CAAA61C8"/>
    <w:lvl w:ilvl="0" w:tplc="3DCAFDE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4073F30"/>
    <w:multiLevelType w:val="multilevel"/>
    <w:tmpl w:val="04073F30"/>
    <w:lvl w:ilvl="0">
      <w:start w:val="1"/>
      <w:numFmt w:val="bullet"/>
      <w:lvlText w:val=""/>
      <w:lvlJc w:val="left"/>
      <w:pPr>
        <w:ind w:left="360" w:hanging="480"/>
      </w:pPr>
      <w:rPr>
        <w:rFonts w:ascii="Symbol" w:hAnsi="Symbol" w:hint="default"/>
      </w:rPr>
    </w:lvl>
    <w:lvl w:ilvl="1">
      <w:start w:val="1"/>
      <w:numFmt w:val="bullet"/>
      <w:lvlText w:val=""/>
      <w:lvlJc w:val="left"/>
      <w:pPr>
        <w:ind w:left="0" w:hanging="480"/>
      </w:pPr>
      <w:rPr>
        <w:rFonts w:ascii="Wingdings" w:hAnsi="Wingdings" w:hint="default"/>
      </w:rPr>
    </w:lvl>
    <w:lvl w:ilvl="2">
      <w:start w:val="1"/>
      <w:numFmt w:val="bullet"/>
      <w:lvlText w:val=""/>
      <w:lvlJc w:val="left"/>
      <w:pPr>
        <w:ind w:left="480" w:hanging="480"/>
      </w:pPr>
      <w:rPr>
        <w:rFonts w:ascii="Wingdings" w:hAnsi="Wingdings" w:hint="default"/>
      </w:rPr>
    </w:lvl>
    <w:lvl w:ilvl="3">
      <w:start w:val="1"/>
      <w:numFmt w:val="bullet"/>
      <w:lvlText w:val=""/>
      <w:lvlJc w:val="left"/>
      <w:pPr>
        <w:ind w:left="960" w:hanging="480"/>
      </w:pPr>
      <w:rPr>
        <w:rFonts w:ascii="Wingdings" w:hAnsi="Wingdings" w:hint="default"/>
      </w:rPr>
    </w:lvl>
    <w:lvl w:ilvl="4">
      <w:start w:val="1"/>
      <w:numFmt w:val="bullet"/>
      <w:lvlText w:val=""/>
      <w:lvlJc w:val="left"/>
      <w:pPr>
        <w:ind w:left="1440" w:hanging="480"/>
      </w:pPr>
      <w:rPr>
        <w:rFonts w:ascii="Wingdings" w:hAnsi="Wingdings" w:hint="default"/>
      </w:rPr>
    </w:lvl>
    <w:lvl w:ilvl="5">
      <w:start w:val="1"/>
      <w:numFmt w:val="bullet"/>
      <w:lvlText w:val=""/>
      <w:lvlJc w:val="left"/>
      <w:pPr>
        <w:ind w:left="1920" w:hanging="480"/>
      </w:pPr>
      <w:rPr>
        <w:rFonts w:ascii="Wingdings" w:hAnsi="Wingdings" w:hint="default"/>
      </w:rPr>
    </w:lvl>
    <w:lvl w:ilvl="6">
      <w:start w:val="1"/>
      <w:numFmt w:val="bullet"/>
      <w:lvlText w:val=""/>
      <w:lvlJc w:val="left"/>
      <w:pPr>
        <w:ind w:left="2400" w:hanging="480"/>
      </w:pPr>
      <w:rPr>
        <w:rFonts w:ascii="Wingdings" w:hAnsi="Wingdings" w:hint="default"/>
      </w:rPr>
    </w:lvl>
    <w:lvl w:ilvl="7">
      <w:start w:val="1"/>
      <w:numFmt w:val="bullet"/>
      <w:lvlText w:val=""/>
      <w:lvlJc w:val="left"/>
      <w:pPr>
        <w:ind w:left="2880" w:hanging="480"/>
      </w:pPr>
      <w:rPr>
        <w:rFonts w:ascii="Wingdings" w:hAnsi="Wingdings" w:hint="default"/>
      </w:rPr>
    </w:lvl>
    <w:lvl w:ilvl="8">
      <w:start w:val="1"/>
      <w:numFmt w:val="bullet"/>
      <w:lvlText w:val=""/>
      <w:lvlJc w:val="left"/>
      <w:pPr>
        <w:ind w:left="3360" w:hanging="480"/>
      </w:pPr>
      <w:rPr>
        <w:rFonts w:ascii="Wingdings" w:hAnsi="Wingdings" w:hint="default"/>
      </w:rPr>
    </w:lvl>
  </w:abstractNum>
  <w:abstractNum w:abstractNumId="2" w15:restartNumberingAfterBreak="0">
    <w:nsid w:val="05F36590"/>
    <w:multiLevelType w:val="hybridMultilevel"/>
    <w:tmpl w:val="3CB6907C"/>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114B1862"/>
    <w:multiLevelType w:val="hybridMultilevel"/>
    <w:tmpl w:val="58EA7A18"/>
    <w:lvl w:ilvl="0" w:tplc="5E7C35B8">
      <w:start w:val="2"/>
      <w:numFmt w:val="upperLetter"/>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A6141D8"/>
    <w:multiLevelType w:val="hybridMultilevel"/>
    <w:tmpl w:val="B6E2AB6E"/>
    <w:lvl w:ilvl="0" w:tplc="0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1A8C249C"/>
    <w:multiLevelType w:val="hybridMultilevel"/>
    <w:tmpl w:val="4F78461E"/>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34E2B6E"/>
    <w:multiLevelType w:val="hybridMultilevel"/>
    <w:tmpl w:val="A876675C"/>
    <w:lvl w:ilvl="0" w:tplc="3DCAFDE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C2A13E7"/>
    <w:multiLevelType w:val="hybridMultilevel"/>
    <w:tmpl w:val="60668720"/>
    <w:lvl w:ilvl="0" w:tplc="3DCAFDE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2E23EB2"/>
    <w:multiLevelType w:val="multilevel"/>
    <w:tmpl w:val="0E121C42"/>
    <w:lvl w:ilvl="0">
      <w:numFmt w:val="bullet"/>
      <w:lvlText w:val="-"/>
      <w:lvlJc w:val="left"/>
      <w:pPr>
        <w:ind w:left="780" w:hanging="360"/>
      </w:pPr>
      <w:rPr>
        <w:rFonts w:ascii="Calibri" w:eastAsia="宋体" w:hAnsi="Calibri" w:cs="Calibri" w:hint="default"/>
      </w:rPr>
    </w:lvl>
    <w:lvl w:ilvl="1">
      <w:start w:val="1"/>
      <w:numFmt w:val="bullet"/>
      <w:lvlText w:val="•"/>
      <w:lvlJc w:val="left"/>
      <w:pPr>
        <w:ind w:left="1260" w:hanging="420"/>
      </w:pPr>
      <w:rPr>
        <w:rFonts w:ascii="Arial" w:hAnsi="Arial" w:cs="Times New Roman" w:hint="default"/>
      </w:rPr>
    </w:lvl>
    <w:lvl w:ilvl="2">
      <w:start w:val="5"/>
      <w:numFmt w:val="bullet"/>
      <w:lvlText w:val=""/>
      <w:lvlJc w:val="left"/>
      <w:pPr>
        <w:ind w:left="1700" w:hanging="440"/>
      </w:pPr>
      <w:rPr>
        <w:rFonts w:ascii="Symbol" w:eastAsia="宋体"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B0838C8"/>
    <w:multiLevelType w:val="hybridMultilevel"/>
    <w:tmpl w:val="0934837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0546626"/>
    <w:multiLevelType w:val="hybridMultilevel"/>
    <w:tmpl w:val="13C4A690"/>
    <w:lvl w:ilvl="0" w:tplc="8C980E04">
      <w:numFmt w:val="bullet"/>
      <w:lvlText w:val="-"/>
      <w:lvlJc w:val="left"/>
      <w:pPr>
        <w:ind w:left="2160" w:hanging="360"/>
      </w:pPr>
      <w:rPr>
        <w:rFonts w:ascii="Times New Roman" w:eastAsia="宋体" w:hAnsi="Times New Roman"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3"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5" w15:restartNumberingAfterBreak="0">
    <w:nsid w:val="60655190"/>
    <w:multiLevelType w:val="hybridMultilevel"/>
    <w:tmpl w:val="7D2205B6"/>
    <w:lvl w:ilvl="0" w:tplc="8C980E04">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6B27086F"/>
    <w:multiLevelType w:val="multilevel"/>
    <w:tmpl w:val="B930D632"/>
    <w:lvl w:ilvl="0">
      <w:start w:val="1"/>
      <w:numFmt w:val="decimal"/>
      <w:lvlText w:val="%1."/>
      <w:lvlJc w:val="left"/>
      <w:pPr>
        <w:ind w:left="720" w:hanging="360"/>
      </w:pPr>
      <w:rPr>
        <w:rFonts w:hint="eastAsia"/>
      </w:rPr>
    </w:lvl>
    <w:lvl w:ilvl="1">
      <w:start w:val="2"/>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18" w15:restartNumberingAfterBreak="0">
    <w:nsid w:val="6EC24704"/>
    <w:multiLevelType w:val="hybridMultilevel"/>
    <w:tmpl w:val="94A6185E"/>
    <w:lvl w:ilvl="0" w:tplc="0EF4E982">
      <w:start w:val="1"/>
      <w:numFmt w:val="upperLetter"/>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1115AAC"/>
    <w:multiLevelType w:val="multilevel"/>
    <w:tmpl w:val="21202652"/>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22" w15:restartNumberingAfterBreak="0">
    <w:nsid w:val="722430A8"/>
    <w:multiLevelType w:val="multilevel"/>
    <w:tmpl w:val="722430A8"/>
    <w:lvl w:ilvl="0">
      <w:start w:val="1"/>
      <w:numFmt w:val="bullet"/>
      <w:lvlText w:val="-"/>
      <w:lvlJc w:val="left"/>
      <w:pPr>
        <w:tabs>
          <w:tab w:val="left" w:pos="720"/>
        </w:tabs>
        <w:ind w:left="720" w:hanging="360"/>
      </w:pPr>
      <w:rPr>
        <w:rFonts w:ascii="Times New Roman" w:hAnsi="Times New Roman" w:cs="Times New Roman" w:hint="default"/>
      </w:rPr>
    </w:lvl>
    <w:lvl w:ilvl="1">
      <w:start w:val="1"/>
      <w:numFmt w:val="bullet"/>
      <w:lvlText w:val="-"/>
      <w:lvlJc w:val="left"/>
      <w:pPr>
        <w:tabs>
          <w:tab w:val="left" w:pos="1440"/>
        </w:tabs>
        <w:ind w:left="1440" w:hanging="360"/>
      </w:pPr>
      <w:rPr>
        <w:rFonts w:ascii="Times New Roman" w:hAnsi="Times New Roman" w:cs="Times New Roman" w:hint="default"/>
      </w:rPr>
    </w:lvl>
    <w:lvl w:ilvl="2">
      <w:start w:val="1"/>
      <w:numFmt w:val="bullet"/>
      <w:lvlText w:val="-"/>
      <w:lvlJc w:val="left"/>
      <w:pPr>
        <w:tabs>
          <w:tab w:val="left" w:pos="2160"/>
        </w:tabs>
        <w:ind w:left="2160" w:hanging="360"/>
      </w:pPr>
      <w:rPr>
        <w:rFonts w:ascii="Times New Roman" w:hAnsi="Times New Roman" w:cs="Times New Roman" w:hint="default"/>
      </w:rPr>
    </w:lvl>
    <w:lvl w:ilvl="3">
      <w:start w:val="1"/>
      <w:numFmt w:val="bullet"/>
      <w:lvlText w:val="-"/>
      <w:lvlJc w:val="left"/>
      <w:pPr>
        <w:tabs>
          <w:tab w:val="left" w:pos="2880"/>
        </w:tabs>
        <w:ind w:left="2880" w:hanging="360"/>
      </w:pPr>
      <w:rPr>
        <w:rFonts w:ascii="Times New Roman" w:hAnsi="Times New Roman" w:cs="Times New Roman" w:hint="default"/>
      </w:rPr>
    </w:lvl>
    <w:lvl w:ilvl="4">
      <w:start w:val="1"/>
      <w:numFmt w:val="bullet"/>
      <w:lvlText w:val="-"/>
      <w:lvlJc w:val="left"/>
      <w:pPr>
        <w:tabs>
          <w:tab w:val="left" w:pos="3600"/>
        </w:tabs>
        <w:ind w:left="3600" w:hanging="360"/>
      </w:pPr>
      <w:rPr>
        <w:rFonts w:ascii="Times New Roman" w:hAnsi="Times New Roman" w:cs="Times New Roman" w:hint="default"/>
      </w:rPr>
    </w:lvl>
    <w:lvl w:ilvl="5">
      <w:start w:val="1"/>
      <w:numFmt w:val="bullet"/>
      <w:lvlText w:val="-"/>
      <w:lvlJc w:val="left"/>
      <w:pPr>
        <w:tabs>
          <w:tab w:val="left" w:pos="4320"/>
        </w:tabs>
        <w:ind w:left="4320" w:hanging="360"/>
      </w:pPr>
      <w:rPr>
        <w:rFonts w:ascii="Times New Roman" w:hAnsi="Times New Roman" w:cs="Times New Roman" w:hint="default"/>
      </w:rPr>
    </w:lvl>
    <w:lvl w:ilvl="6">
      <w:start w:val="1"/>
      <w:numFmt w:val="bullet"/>
      <w:lvlText w:val="-"/>
      <w:lvlJc w:val="left"/>
      <w:pPr>
        <w:tabs>
          <w:tab w:val="left" w:pos="5040"/>
        </w:tabs>
        <w:ind w:left="5040" w:hanging="360"/>
      </w:pPr>
      <w:rPr>
        <w:rFonts w:ascii="Times New Roman" w:hAnsi="Times New Roman" w:cs="Times New Roman" w:hint="default"/>
      </w:rPr>
    </w:lvl>
    <w:lvl w:ilvl="7">
      <w:start w:val="1"/>
      <w:numFmt w:val="bullet"/>
      <w:lvlText w:val="-"/>
      <w:lvlJc w:val="left"/>
      <w:pPr>
        <w:tabs>
          <w:tab w:val="left" w:pos="5760"/>
        </w:tabs>
        <w:ind w:left="5760" w:hanging="360"/>
      </w:pPr>
      <w:rPr>
        <w:rFonts w:ascii="Times New Roman" w:hAnsi="Times New Roman" w:cs="Times New Roman" w:hint="default"/>
      </w:rPr>
    </w:lvl>
    <w:lvl w:ilvl="8">
      <w:start w:val="1"/>
      <w:numFmt w:val="bullet"/>
      <w:lvlText w:val="-"/>
      <w:lvlJc w:val="left"/>
      <w:pPr>
        <w:tabs>
          <w:tab w:val="left" w:pos="6480"/>
        </w:tabs>
        <w:ind w:left="6480" w:hanging="360"/>
      </w:pPr>
      <w:rPr>
        <w:rFonts w:ascii="Times New Roman" w:hAnsi="Times New Roman" w:cs="Times New Roman" w:hint="default"/>
      </w:rPr>
    </w:lvl>
  </w:abstractNum>
  <w:abstractNum w:abstractNumId="23" w15:restartNumberingAfterBreak="0">
    <w:nsid w:val="72C71936"/>
    <w:multiLevelType w:val="multilevel"/>
    <w:tmpl w:val="E2406F40"/>
    <w:lvl w:ilvl="0">
      <w:start w:val="1"/>
      <w:numFmt w:val="decimal"/>
      <w:pStyle w:val="1"/>
      <w:lvlText w:val="%1"/>
      <w:lvlJc w:val="left"/>
      <w:pPr>
        <w:tabs>
          <w:tab w:val="num" w:pos="0"/>
        </w:tabs>
        <w:ind w:left="2551" w:hanging="1304"/>
      </w:pPr>
      <w:rPr>
        <w:rFonts w:hint="default"/>
        <w:u w:val="none"/>
      </w:rPr>
    </w:lvl>
    <w:lvl w:ilvl="1">
      <w:start w:val="1"/>
      <w:numFmt w:val="decimal"/>
      <w:lvlText w:val="%1.%2"/>
      <w:lvlJc w:val="left"/>
      <w:pPr>
        <w:tabs>
          <w:tab w:val="num" w:pos="0"/>
        </w:tabs>
        <w:ind w:left="2551" w:hanging="1304"/>
      </w:pPr>
      <w:rPr>
        <w:rFonts w:hint="default"/>
        <w:color w:val="000000"/>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4" w15:restartNumberingAfterBreak="0">
    <w:nsid w:val="762662E2"/>
    <w:multiLevelType w:val="multilevel"/>
    <w:tmpl w:val="A01A824E"/>
    <w:lvl w:ilvl="0">
      <w:start w:val="1"/>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7AA67BF0"/>
    <w:multiLevelType w:val="hybridMultilevel"/>
    <w:tmpl w:val="91C2295E"/>
    <w:lvl w:ilvl="0" w:tplc="F102836E">
      <w:numFmt w:val="bullet"/>
      <w:lvlText w:val="-"/>
      <w:lvlJc w:val="left"/>
      <w:pPr>
        <w:ind w:left="360" w:hanging="360"/>
      </w:pPr>
      <w:rPr>
        <w:rFonts w:ascii="Arial" w:eastAsia="Yu Mincho" w:hAnsi="Arial" w:cs="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23"/>
  </w:num>
  <w:num w:numId="2">
    <w:abstractNumId w:val="17"/>
  </w:num>
  <w:num w:numId="3">
    <w:abstractNumId w:val="13"/>
  </w:num>
  <w:num w:numId="4">
    <w:abstractNumId w:val="14"/>
  </w:num>
  <w:num w:numId="5">
    <w:abstractNumId w:val="19"/>
  </w:num>
  <w:num w:numId="6">
    <w:abstractNumId w:val="0"/>
  </w:num>
  <w:num w:numId="7">
    <w:abstractNumId w:val="3"/>
  </w:num>
  <w:num w:numId="8">
    <w:abstractNumId w:val="16"/>
  </w:num>
  <w:num w:numId="9">
    <w:abstractNumId w:val="11"/>
  </w:num>
  <w:num w:numId="10">
    <w:abstractNumId w:val="6"/>
  </w:num>
  <w:num w:numId="11">
    <w:abstractNumId w:val="12"/>
  </w:num>
  <w:num w:numId="12">
    <w:abstractNumId w:val="10"/>
  </w:num>
  <w:num w:numId="13">
    <w:abstractNumId w:val="25"/>
  </w:num>
  <w:num w:numId="14">
    <w:abstractNumId w:val="15"/>
  </w:num>
  <w:num w:numId="15">
    <w:abstractNumId w:val="1"/>
  </w:num>
  <w:num w:numId="16">
    <w:abstractNumId w:val="20"/>
  </w:num>
  <w:num w:numId="17">
    <w:abstractNumId w:val="5"/>
  </w:num>
  <w:num w:numId="18">
    <w:abstractNumId w:val="8"/>
  </w:num>
  <w:num w:numId="19">
    <w:abstractNumId w:val="7"/>
  </w:num>
  <w:num w:numId="20">
    <w:abstractNumId w:val="24"/>
  </w:num>
  <w:num w:numId="21">
    <w:abstractNumId w:val="18"/>
  </w:num>
  <w:num w:numId="22">
    <w:abstractNumId w:val="9"/>
  </w:num>
  <w:num w:numId="23">
    <w:abstractNumId w:val="4"/>
  </w:num>
  <w:num w:numId="24">
    <w:abstractNumId w:val="21"/>
  </w:num>
  <w:num w:numId="25">
    <w:abstractNumId w:val="2"/>
  </w:num>
  <w:num w:numId="26">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439B"/>
    <w:rsid w:val="00002299"/>
    <w:rsid w:val="0000685E"/>
    <w:rsid w:val="00007382"/>
    <w:rsid w:val="00011E01"/>
    <w:rsid w:val="000158D0"/>
    <w:rsid w:val="00015C3C"/>
    <w:rsid w:val="00016088"/>
    <w:rsid w:val="00016112"/>
    <w:rsid w:val="00016727"/>
    <w:rsid w:val="000247EA"/>
    <w:rsid w:val="00024DE8"/>
    <w:rsid w:val="0002546B"/>
    <w:rsid w:val="0002581A"/>
    <w:rsid w:val="000324CA"/>
    <w:rsid w:val="00034A97"/>
    <w:rsid w:val="0003613E"/>
    <w:rsid w:val="00043F9E"/>
    <w:rsid w:val="00051EAB"/>
    <w:rsid w:val="0005495A"/>
    <w:rsid w:val="00057AE1"/>
    <w:rsid w:val="00070463"/>
    <w:rsid w:val="000716C6"/>
    <w:rsid w:val="00072D64"/>
    <w:rsid w:val="00076628"/>
    <w:rsid w:val="00077AB2"/>
    <w:rsid w:val="000823B4"/>
    <w:rsid w:val="00085B4A"/>
    <w:rsid w:val="0008649C"/>
    <w:rsid w:val="000A3D16"/>
    <w:rsid w:val="000A7203"/>
    <w:rsid w:val="000B3B28"/>
    <w:rsid w:val="000C2CBD"/>
    <w:rsid w:val="000C770E"/>
    <w:rsid w:val="000D163E"/>
    <w:rsid w:val="000D3472"/>
    <w:rsid w:val="000D645A"/>
    <w:rsid w:val="000D6479"/>
    <w:rsid w:val="000F02B6"/>
    <w:rsid w:val="000F428C"/>
    <w:rsid w:val="000F6FE6"/>
    <w:rsid w:val="001011CC"/>
    <w:rsid w:val="00101ACC"/>
    <w:rsid w:val="00102142"/>
    <w:rsid w:val="0011076E"/>
    <w:rsid w:val="0011186C"/>
    <w:rsid w:val="0012385A"/>
    <w:rsid w:val="001260EF"/>
    <w:rsid w:val="00127301"/>
    <w:rsid w:val="00130412"/>
    <w:rsid w:val="00137E62"/>
    <w:rsid w:val="00141635"/>
    <w:rsid w:val="001452D7"/>
    <w:rsid w:val="00146468"/>
    <w:rsid w:val="001478E9"/>
    <w:rsid w:val="00150BF0"/>
    <w:rsid w:val="001512ED"/>
    <w:rsid w:val="0015540D"/>
    <w:rsid w:val="0016362E"/>
    <w:rsid w:val="001644B9"/>
    <w:rsid w:val="0016695D"/>
    <w:rsid w:val="00167860"/>
    <w:rsid w:val="0017239B"/>
    <w:rsid w:val="001754BF"/>
    <w:rsid w:val="0017577F"/>
    <w:rsid w:val="0017748B"/>
    <w:rsid w:val="001779A3"/>
    <w:rsid w:val="001800C7"/>
    <w:rsid w:val="00180A67"/>
    <w:rsid w:val="00182726"/>
    <w:rsid w:val="0018503A"/>
    <w:rsid w:val="00187ADE"/>
    <w:rsid w:val="001926E4"/>
    <w:rsid w:val="001950FB"/>
    <w:rsid w:val="00195347"/>
    <w:rsid w:val="001A0C83"/>
    <w:rsid w:val="001A1790"/>
    <w:rsid w:val="001A643C"/>
    <w:rsid w:val="001B08F6"/>
    <w:rsid w:val="001B142A"/>
    <w:rsid w:val="001B6E2C"/>
    <w:rsid w:val="001B756E"/>
    <w:rsid w:val="001C2469"/>
    <w:rsid w:val="001C397B"/>
    <w:rsid w:val="001C503D"/>
    <w:rsid w:val="001C641D"/>
    <w:rsid w:val="001C6C9A"/>
    <w:rsid w:val="001D0568"/>
    <w:rsid w:val="001D0D2B"/>
    <w:rsid w:val="001D2134"/>
    <w:rsid w:val="001D25D7"/>
    <w:rsid w:val="001D72FE"/>
    <w:rsid w:val="001E53B1"/>
    <w:rsid w:val="001E5A5D"/>
    <w:rsid w:val="001E6E43"/>
    <w:rsid w:val="001F0095"/>
    <w:rsid w:val="001F2348"/>
    <w:rsid w:val="001F4117"/>
    <w:rsid w:val="00200158"/>
    <w:rsid w:val="00200837"/>
    <w:rsid w:val="00203D4A"/>
    <w:rsid w:val="00205754"/>
    <w:rsid w:val="00206C54"/>
    <w:rsid w:val="00207CF1"/>
    <w:rsid w:val="002127C7"/>
    <w:rsid w:val="00217FA3"/>
    <w:rsid w:val="00223C0A"/>
    <w:rsid w:val="00225425"/>
    <w:rsid w:val="00227064"/>
    <w:rsid w:val="002316C3"/>
    <w:rsid w:val="00235DBD"/>
    <w:rsid w:val="00240BB8"/>
    <w:rsid w:val="00242096"/>
    <w:rsid w:val="00246ADE"/>
    <w:rsid w:val="00253664"/>
    <w:rsid w:val="00255740"/>
    <w:rsid w:val="00256027"/>
    <w:rsid w:val="00261A53"/>
    <w:rsid w:val="00261A6D"/>
    <w:rsid w:val="002633C6"/>
    <w:rsid w:val="00265CD5"/>
    <w:rsid w:val="0026773E"/>
    <w:rsid w:val="00273D7D"/>
    <w:rsid w:val="00277750"/>
    <w:rsid w:val="00280D74"/>
    <w:rsid w:val="00281A5A"/>
    <w:rsid w:val="00287457"/>
    <w:rsid w:val="00292214"/>
    <w:rsid w:val="00294705"/>
    <w:rsid w:val="002A0259"/>
    <w:rsid w:val="002B3D5A"/>
    <w:rsid w:val="002B6210"/>
    <w:rsid w:val="002B652F"/>
    <w:rsid w:val="002C1E5B"/>
    <w:rsid w:val="002C4CB6"/>
    <w:rsid w:val="002D018A"/>
    <w:rsid w:val="002E3574"/>
    <w:rsid w:val="002E3F3F"/>
    <w:rsid w:val="002E64BA"/>
    <w:rsid w:val="002F43C6"/>
    <w:rsid w:val="002F6F34"/>
    <w:rsid w:val="003009F3"/>
    <w:rsid w:val="00302559"/>
    <w:rsid w:val="00305381"/>
    <w:rsid w:val="0031381D"/>
    <w:rsid w:val="003178A8"/>
    <w:rsid w:val="00324A56"/>
    <w:rsid w:val="00324CCC"/>
    <w:rsid w:val="0032715E"/>
    <w:rsid w:val="00330185"/>
    <w:rsid w:val="003329CE"/>
    <w:rsid w:val="00334BFE"/>
    <w:rsid w:val="00342670"/>
    <w:rsid w:val="003448C1"/>
    <w:rsid w:val="00347843"/>
    <w:rsid w:val="00352437"/>
    <w:rsid w:val="0035479D"/>
    <w:rsid w:val="00363A14"/>
    <w:rsid w:val="003700E4"/>
    <w:rsid w:val="003702DA"/>
    <w:rsid w:val="003738E4"/>
    <w:rsid w:val="0037596F"/>
    <w:rsid w:val="00376331"/>
    <w:rsid w:val="00385668"/>
    <w:rsid w:val="0038659C"/>
    <w:rsid w:val="00395926"/>
    <w:rsid w:val="003A4170"/>
    <w:rsid w:val="003A4595"/>
    <w:rsid w:val="003A4A9D"/>
    <w:rsid w:val="003B4EEA"/>
    <w:rsid w:val="003B6133"/>
    <w:rsid w:val="003B78F5"/>
    <w:rsid w:val="003D3A49"/>
    <w:rsid w:val="003D749A"/>
    <w:rsid w:val="003E1EB2"/>
    <w:rsid w:val="003E6CF6"/>
    <w:rsid w:val="003F6FCE"/>
    <w:rsid w:val="00402EF3"/>
    <w:rsid w:val="0041525E"/>
    <w:rsid w:val="00416279"/>
    <w:rsid w:val="004230BF"/>
    <w:rsid w:val="00426BD0"/>
    <w:rsid w:val="00431676"/>
    <w:rsid w:val="00432A04"/>
    <w:rsid w:val="00437FBE"/>
    <w:rsid w:val="00460AAF"/>
    <w:rsid w:val="00466A15"/>
    <w:rsid w:val="00467C66"/>
    <w:rsid w:val="004718D4"/>
    <w:rsid w:val="00471AA1"/>
    <w:rsid w:val="00480320"/>
    <w:rsid w:val="00480411"/>
    <w:rsid w:val="00485068"/>
    <w:rsid w:val="0048645C"/>
    <w:rsid w:val="0049439B"/>
    <w:rsid w:val="00494A92"/>
    <w:rsid w:val="004A2AFD"/>
    <w:rsid w:val="004A351E"/>
    <w:rsid w:val="004A3F2B"/>
    <w:rsid w:val="004A4278"/>
    <w:rsid w:val="004B6A8C"/>
    <w:rsid w:val="004C222C"/>
    <w:rsid w:val="004C51E5"/>
    <w:rsid w:val="004D00B7"/>
    <w:rsid w:val="004D26E8"/>
    <w:rsid w:val="004D3E5E"/>
    <w:rsid w:val="004D4C80"/>
    <w:rsid w:val="004D6569"/>
    <w:rsid w:val="004D67EE"/>
    <w:rsid w:val="004E17D6"/>
    <w:rsid w:val="004E1970"/>
    <w:rsid w:val="004E2808"/>
    <w:rsid w:val="004E2E67"/>
    <w:rsid w:val="004E306E"/>
    <w:rsid w:val="004F4A70"/>
    <w:rsid w:val="0050330D"/>
    <w:rsid w:val="00505332"/>
    <w:rsid w:val="00507AA9"/>
    <w:rsid w:val="0051229C"/>
    <w:rsid w:val="00516C00"/>
    <w:rsid w:val="005218FD"/>
    <w:rsid w:val="00522680"/>
    <w:rsid w:val="0052273B"/>
    <w:rsid w:val="005248BF"/>
    <w:rsid w:val="005319A1"/>
    <w:rsid w:val="005346E3"/>
    <w:rsid w:val="00543855"/>
    <w:rsid w:val="0054389C"/>
    <w:rsid w:val="0054431A"/>
    <w:rsid w:val="00545812"/>
    <w:rsid w:val="0056020E"/>
    <w:rsid w:val="00562DFE"/>
    <w:rsid w:val="00563C8B"/>
    <w:rsid w:val="00566B7A"/>
    <w:rsid w:val="00570005"/>
    <w:rsid w:val="005709CD"/>
    <w:rsid w:val="0057452F"/>
    <w:rsid w:val="0059161C"/>
    <w:rsid w:val="005A4FA8"/>
    <w:rsid w:val="005A7A53"/>
    <w:rsid w:val="005A7E7C"/>
    <w:rsid w:val="005B02B3"/>
    <w:rsid w:val="005B210E"/>
    <w:rsid w:val="005B3738"/>
    <w:rsid w:val="005B3CDF"/>
    <w:rsid w:val="005B4847"/>
    <w:rsid w:val="005B57EF"/>
    <w:rsid w:val="005B5D35"/>
    <w:rsid w:val="005C216D"/>
    <w:rsid w:val="005C6153"/>
    <w:rsid w:val="005C6720"/>
    <w:rsid w:val="005C6FA4"/>
    <w:rsid w:val="005D0746"/>
    <w:rsid w:val="005D5C17"/>
    <w:rsid w:val="005E081D"/>
    <w:rsid w:val="005F0FC1"/>
    <w:rsid w:val="005F53F5"/>
    <w:rsid w:val="005F6DF7"/>
    <w:rsid w:val="006068C7"/>
    <w:rsid w:val="00611B19"/>
    <w:rsid w:val="00615A48"/>
    <w:rsid w:val="006165ED"/>
    <w:rsid w:val="006214B2"/>
    <w:rsid w:val="00621DCA"/>
    <w:rsid w:val="006241B7"/>
    <w:rsid w:val="0063025B"/>
    <w:rsid w:val="0063093D"/>
    <w:rsid w:val="0063287F"/>
    <w:rsid w:val="006330FF"/>
    <w:rsid w:val="006367AB"/>
    <w:rsid w:val="006368BE"/>
    <w:rsid w:val="006408D7"/>
    <w:rsid w:val="0064419F"/>
    <w:rsid w:val="006530C5"/>
    <w:rsid w:val="006602E7"/>
    <w:rsid w:val="00661CA0"/>
    <w:rsid w:val="0066419E"/>
    <w:rsid w:val="006768EF"/>
    <w:rsid w:val="006777B5"/>
    <w:rsid w:val="006803DB"/>
    <w:rsid w:val="00680FF7"/>
    <w:rsid w:val="006830CE"/>
    <w:rsid w:val="00685EFE"/>
    <w:rsid w:val="00687E6B"/>
    <w:rsid w:val="00695FD9"/>
    <w:rsid w:val="006A69F0"/>
    <w:rsid w:val="006B73D4"/>
    <w:rsid w:val="006C26E7"/>
    <w:rsid w:val="006C49CF"/>
    <w:rsid w:val="006D0D08"/>
    <w:rsid w:val="006D677D"/>
    <w:rsid w:val="006D7986"/>
    <w:rsid w:val="006E04B2"/>
    <w:rsid w:val="006E3CA9"/>
    <w:rsid w:val="007000C2"/>
    <w:rsid w:val="007035A3"/>
    <w:rsid w:val="007039C2"/>
    <w:rsid w:val="00704E0D"/>
    <w:rsid w:val="0070658E"/>
    <w:rsid w:val="007070F1"/>
    <w:rsid w:val="0071610B"/>
    <w:rsid w:val="0071779F"/>
    <w:rsid w:val="007177E8"/>
    <w:rsid w:val="007213C7"/>
    <w:rsid w:val="00722233"/>
    <w:rsid w:val="00725498"/>
    <w:rsid w:val="00731CC2"/>
    <w:rsid w:val="00745132"/>
    <w:rsid w:val="007463FE"/>
    <w:rsid w:val="00752A0E"/>
    <w:rsid w:val="0075409F"/>
    <w:rsid w:val="00757DBE"/>
    <w:rsid w:val="007626A1"/>
    <w:rsid w:val="00762B01"/>
    <w:rsid w:val="007710CB"/>
    <w:rsid w:val="00774CC0"/>
    <w:rsid w:val="00775CBB"/>
    <w:rsid w:val="0078040D"/>
    <w:rsid w:val="00780FFB"/>
    <w:rsid w:val="0078135A"/>
    <w:rsid w:val="007838EE"/>
    <w:rsid w:val="007926DC"/>
    <w:rsid w:val="00792951"/>
    <w:rsid w:val="007951A5"/>
    <w:rsid w:val="007962F9"/>
    <w:rsid w:val="007978E0"/>
    <w:rsid w:val="007A6A3C"/>
    <w:rsid w:val="007B37C0"/>
    <w:rsid w:val="007D1DDB"/>
    <w:rsid w:val="007E0B08"/>
    <w:rsid w:val="007E1AB5"/>
    <w:rsid w:val="007F5703"/>
    <w:rsid w:val="0080081A"/>
    <w:rsid w:val="00800EA2"/>
    <w:rsid w:val="0080162C"/>
    <w:rsid w:val="00803D9E"/>
    <w:rsid w:val="00806B88"/>
    <w:rsid w:val="008104F7"/>
    <w:rsid w:val="0081726D"/>
    <w:rsid w:val="0082167B"/>
    <w:rsid w:val="0082337A"/>
    <w:rsid w:val="00824894"/>
    <w:rsid w:val="00836272"/>
    <w:rsid w:val="00841157"/>
    <w:rsid w:val="00841D35"/>
    <w:rsid w:val="00842FA7"/>
    <w:rsid w:val="00846482"/>
    <w:rsid w:val="00846CC4"/>
    <w:rsid w:val="008630DE"/>
    <w:rsid w:val="00864C17"/>
    <w:rsid w:val="00867779"/>
    <w:rsid w:val="00870078"/>
    <w:rsid w:val="00873E40"/>
    <w:rsid w:val="008753BF"/>
    <w:rsid w:val="00881233"/>
    <w:rsid w:val="0088218C"/>
    <w:rsid w:val="008827F1"/>
    <w:rsid w:val="00883B49"/>
    <w:rsid w:val="00890792"/>
    <w:rsid w:val="00893262"/>
    <w:rsid w:val="008960A9"/>
    <w:rsid w:val="00896E69"/>
    <w:rsid w:val="008A2709"/>
    <w:rsid w:val="008A50A9"/>
    <w:rsid w:val="008A6635"/>
    <w:rsid w:val="008A7CA1"/>
    <w:rsid w:val="008B01A1"/>
    <w:rsid w:val="008B5966"/>
    <w:rsid w:val="008B68C3"/>
    <w:rsid w:val="008B704C"/>
    <w:rsid w:val="008C3B63"/>
    <w:rsid w:val="008D005F"/>
    <w:rsid w:val="008D26B8"/>
    <w:rsid w:val="008D6E7B"/>
    <w:rsid w:val="008D7652"/>
    <w:rsid w:val="008E566B"/>
    <w:rsid w:val="008F07AF"/>
    <w:rsid w:val="008F2E97"/>
    <w:rsid w:val="008F3AB1"/>
    <w:rsid w:val="0090090C"/>
    <w:rsid w:val="009009A0"/>
    <w:rsid w:val="00905382"/>
    <w:rsid w:val="009071B7"/>
    <w:rsid w:val="009072EE"/>
    <w:rsid w:val="00914480"/>
    <w:rsid w:val="00923785"/>
    <w:rsid w:val="00923E60"/>
    <w:rsid w:val="00927F9D"/>
    <w:rsid w:val="0093470E"/>
    <w:rsid w:val="009509D5"/>
    <w:rsid w:val="00951C40"/>
    <w:rsid w:val="0095408F"/>
    <w:rsid w:val="00962323"/>
    <w:rsid w:val="00963620"/>
    <w:rsid w:val="00964B17"/>
    <w:rsid w:val="009650A8"/>
    <w:rsid w:val="009847E0"/>
    <w:rsid w:val="009852F7"/>
    <w:rsid w:val="00997C51"/>
    <w:rsid w:val="009A39AF"/>
    <w:rsid w:val="009A5201"/>
    <w:rsid w:val="009A7035"/>
    <w:rsid w:val="009B205D"/>
    <w:rsid w:val="009C4366"/>
    <w:rsid w:val="009C43ED"/>
    <w:rsid w:val="009D3A4A"/>
    <w:rsid w:val="009E04F6"/>
    <w:rsid w:val="009E4215"/>
    <w:rsid w:val="009E43EE"/>
    <w:rsid w:val="009E5CF4"/>
    <w:rsid w:val="009F680C"/>
    <w:rsid w:val="00A11EC7"/>
    <w:rsid w:val="00A1589E"/>
    <w:rsid w:val="00A16533"/>
    <w:rsid w:val="00A16F00"/>
    <w:rsid w:val="00A16F35"/>
    <w:rsid w:val="00A178CE"/>
    <w:rsid w:val="00A2027E"/>
    <w:rsid w:val="00A22589"/>
    <w:rsid w:val="00A22990"/>
    <w:rsid w:val="00A25F2E"/>
    <w:rsid w:val="00A2749C"/>
    <w:rsid w:val="00A276D7"/>
    <w:rsid w:val="00A27CC1"/>
    <w:rsid w:val="00A3188C"/>
    <w:rsid w:val="00A3385B"/>
    <w:rsid w:val="00A33A69"/>
    <w:rsid w:val="00A3606C"/>
    <w:rsid w:val="00A44F96"/>
    <w:rsid w:val="00A56AA6"/>
    <w:rsid w:val="00A616A0"/>
    <w:rsid w:val="00A63B54"/>
    <w:rsid w:val="00A72117"/>
    <w:rsid w:val="00A7419E"/>
    <w:rsid w:val="00A80D5B"/>
    <w:rsid w:val="00A8537B"/>
    <w:rsid w:val="00A855D3"/>
    <w:rsid w:val="00A91277"/>
    <w:rsid w:val="00A91AED"/>
    <w:rsid w:val="00A929F4"/>
    <w:rsid w:val="00A968A5"/>
    <w:rsid w:val="00AA4AB5"/>
    <w:rsid w:val="00AB52AA"/>
    <w:rsid w:val="00AC175E"/>
    <w:rsid w:val="00AC18ED"/>
    <w:rsid w:val="00AC19BA"/>
    <w:rsid w:val="00AC68BC"/>
    <w:rsid w:val="00AD2060"/>
    <w:rsid w:val="00AF3D27"/>
    <w:rsid w:val="00AF4D8A"/>
    <w:rsid w:val="00AF5BDC"/>
    <w:rsid w:val="00AF6FB1"/>
    <w:rsid w:val="00B004A5"/>
    <w:rsid w:val="00B014D3"/>
    <w:rsid w:val="00B03C1E"/>
    <w:rsid w:val="00B148C0"/>
    <w:rsid w:val="00B14EE0"/>
    <w:rsid w:val="00B22A04"/>
    <w:rsid w:val="00B22C85"/>
    <w:rsid w:val="00B236AD"/>
    <w:rsid w:val="00B24E9C"/>
    <w:rsid w:val="00B25431"/>
    <w:rsid w:val="00B27573"/>
    <w:rsid w:val="00B4430F"/>
    <w:rsid w:val="00B45648"/>
    <w:rsid w:val="00B4742F"/>
    <w:rsid w:val="00B52EFA"/>
    <w:rsid w:val="00B55908"/>
    <w:rsid w:val="00B62374"/>
    <w:rsid w:val="00B64F5F"/>
    <w:rsid w:val="00B75541"/>
    <w:rsid w:val="00B758E0"/>
    <w:rsid w:val="00B75C07"/>
    <w:rsid w:val="00B76E6F"/>
    <w:rsid w:val="00B877C2"/>
    <w:rsid w:val="00B87C96"/>
    <w:rsid w:val="00B9248B"/>
    <w:rsid w:val="00B9324E"/>
    <w:rsid w:val="00B96D2F"/>
    <w:rsid w:val="00BA0ADE"/>
    <w:rsid w:val="00BA173C"/>
    <w:rsid w:val="00BA5919"/>
    <w:rsid w:val="00BB0809"/>
    <w:rsid w:val="00BB2035"/>
    <w:rsid w:val="00BC06A8"/>
    <w:rsid w:val="00BD4D65"/>
    <w:rsid w:val="00BE3F60"/>
    <w:rsid w:val="00BF3D60"/>
    <w:rsid w:val="00BF58DB"/>
    <w:rsid w:val="00C032FD"/>
    <w:rsid w:val="00C116C7"/>
    <w:rsid w:val="00C13829"/>
    <w:rsid w:val="00C13A33"/>
    <w:rsid w:val="00C13FAF"/>
    <w:rsid w:val="00C17DEF"/>
    <w:rsid w:val="00C21AD5"/>
    <w:rsid w:val="00C21ECC"/>
    <w:rsid w:val="00C22270"/>
    <w:rsid w:val="00C239B6"/>
    <w:rsid w:val="00C26A62"/>
    <w:rsid w:val="00C3220A"/>
    <w:rsid w:val="00C35A65"/>
    <w:rsid w:val="00C425CF"/>
    <w:rsid w:val="00C436FD"/>
    <w:rsid w:val="00C43AAE"/>
    <w:rsid w:val="00C4446F"/>
    <w:rsid w:val="00C463BD"/>
    <w:rsid w:val="00C517ED"/>
    <w:rsid w:val="00C55896"/>
    <w:rsid w:val="00C60F32"/>
    <w:rsid w:val="00C71351"/>
    <w:rsid w:val="00C76AE7"/>
    <w:rsid w:val="00C818FA"/>
    <w:rsid w:val="00C82841"/>
    <w:rsid w:val="00C91866"/>
    <w:rsid w:val="00CA279C"/>
    <w:rsid w:val="00CB0B90"/>
    <w:rsid w:val="00CB1A96"/>
    <w:rsid w:val="00CB572B"/>
    <w:rsid w:val="00CC3632"/>
    <w:rsid w:val="00CD1D0C"/>
    <w:rsid w:val="00CD4A10"/>
    <w:rsid w:val="00CE34CD"/>
    <w:rsid w:val="00CE3D40"/>
    <w:rsid w:val="00CE592D"/>
    <w:rsid w:val="00CE747B"/>
    <w:rsid w:val="00CF0440"/>
    <w:rsid w:val="00CF2402"/>
    <w:rsid w:val="00CF6CE4"/>
    <w:rsid w:val="00D11874"/>
    <w:rsid w:val="00D222EE"/>
    <w:rsid w:val="00D248AE"/>
    <w:rsid w:val="00D41B9B"/>
    <w:rsid w:val="00D4283A"/>
    <w:rsid w:val="00D478B9"/>
    <w:rsid w:val="00D522CA"/>
    <w:rsid w:val="00D52CF3"/>
    <w:rsid w:val="00D5302D"/>
    <w:rsid w:val="00D54011"/>
    <w:rsid w:val="00D552EC"/>
    <w:rsid w:val="00D64D77"/>
    <w:rsid w:val="00D652BD"/>
    <w:rsid w:val="00D749FA"/>
    <w:rsid w:val="00D74C42"/>
    <w:rsid w:val="00D77DD1"/>
    <w:rsid w:val="00D80C09"/>
    <w:rsid w:val="00D81433"/>
    <w:rsid w:val="00D82DEC"/>
    <w:rsid w:val="00D83C1B"/>
    <w:rsid w:val="00D851E7"/>
    <w:rsid w:val="00D927C9"/>
    <w:rsid w:val="00D92E42"/>
    <w:rsid w:val="00D9347C"/>
    <w:rsid w:val="00D94392"/>
    <w:rsid w:val="00D96A56"/>
    <w:rsid w:val="00D9704C"/>
    <w:rsid w:val="00D971CE"/>
    <w:rsid w:val="00D97A9F"/>
    <w:rsid w:val="00DA2FD9"/>
    <w:rsid w:val="00DA717D"/>
    <w:rsid w:val="00DB0D39"/>
    <w:rsid w:val="00DB2BE3"/>
    <w:rsid w:val="00DB41D3"/>
    <w:rsid w:val="00DB6756"/>
    <w:rsid w:val="00DB691F"/>
    <w:rsid w:val="00DB6C34"/>
    <w:rsid w:val="00DC2C34"/>
    <w:rsid w:val="00DC700A"/>
    <w:rsid w:val="00DD2A2B"/>
    <w:rsid w:val="00DE3D3B"/>
    <w:rsid w:val="00DF3A0A"/>
    <w:rsid w:val="00DF5B2C"/>
    <w:rsid w:val="00DF6BEA"/>
    <w:rsid w:val="00DF7260"/>
    <w:rsid w:val="00DF7DA1"/>
    <w:rsid w:val="00E01BE3"/>
    <w:rsid w:val="00E01E1C"/>
    <w:rsid w:val="00E16A41"/>
    <w:rsid w:val="00E16D05"/>
    <w:rsid w:val="00E17100"/>
    <w:rsid w:val="00E22AFE"/>
    <w:rsid w:val="00E22C6D"/>
    <w:rsid w:val="00E31770"/>
    <w:rsid w:val="00E34795"/>
    <w:rsid w:val="00E34DC9"/>
    <w:rsid w:val="00E44384"/>
    <w:rsid w:val="00E47C16"/>
    <w:rsid w:val="00E60F11"/>
    <w:rsid w:val="00E61526"/>
    <w:rsid w:val="00E63A81"/>
    <w:rsid w:val="00E70C68"/>
    <w:rsid w:val="00E74179"/>
    <w:rsid w:val="00E7448A"/>
    <w:rsid w:val="00E80307"/>
    <w:rsid w:val="00E84287"/>
    <w:rsid w:val="00E84ABF"/>
    <w:rsid w:val="00E86DEE"/>
    <w:rsid w:val="00E87B0B"/>
    <w:rsid w:val="00E92811"/>
    <w:rsid w:val="00E932CE"/>
    <w:rsid w:val="00E9336C"/>
    <w:rsid w:val="00E93A07"/>
    <w:rsid w:val="00E95DD2"/>
    <w:rsid w:val="00EA3D78"/>
    <w:rsid w:val="00EA75AF"/>
    <w:rsid w:val="00EB588E"/>
    <w:rsid w:val="00EB6560"/>
    <w:rsid w:val="00EC1568"/>
    <w:rsid w:val="00EC1F0F"/>
    <w:rsid w:val="00EC380E"/>
    <w:rsid w:val="00EC4372"/>
    <w:rsid w:val="00EC5D81"/>
    <w:rsid w:val="00ED0473"/>
    <w:rsid w:val="00EE11F7"/>
    <w:rsid w:val="00EF1C76"/>
    <w:rsid w:val="00EF26E7"/>
    <w:rsid w:val="00EF6546"/>
    <w:rsid w:val="00EF7E88"/>
    <w:rsid w:val="00EF7F4C"/>
    <w:rsid w:val="00F03B58"/>
    <w:rsid w:val="00F1014E"/>
    <w:rsid w:val="00F10792"/>
    <w:rsid w:val="00F24C4C"/>
    <w:rsid w:val="00F255DC"/>
    <w:rsid w:val="00F26184"/>
    <w:rsid w:val="00F301DE"/>
    <w:rsid w:val="00F34E17"/>
    <w:rsid w:val="00F4418F"/>
    <w:rsid w:val="00F51558"/>
    <w:rsid w:val="00F53185"/>
    <w:rsid w:val="00F5529E"/>
    <w:rsid w:val="00F553CF"/>
    <w:rsid w:val="00F57234"/>
    <w:rsid w:val="00F6033B"/>
    <w:rsid w:val="00F643FD"/>
    <w:rsid w:val="00F65C96"/>
    <w:rsid w:val="00F81DBD"/>
    <w:rsid w:val="00F82516"/>
    <w:rsid w:val="00F82C45"/>
    <w:rsid w:val="00F8574E"/>
    <w:rsid w:val="00F96D14"/>
    <w:rsid w:val="00FA260D"/>
    <w:rsid w:val="00FA3E7F"/>
    <w:rsid w:val="00FB2E57"/>
    <w:rsid w:val="00FC2171"/>
    <w:rsid w:val="00FD1100"/>
    <w:rsid w:val="00FD389B"/>
    <w:rsid w:val="00FE10A3"/>
    <w:rsid w:val="00FE70BF"/>
    <w:rsid w:val="00FF33D9"/>
    <w:rsid w:val="00FF37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A8A20C"/>
  <w15:chartTrackingRefBased/>
  <w15:docId w15:val="{A733BC1E-19F7-447C-B71D-599BE2B88C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aliases w:val="H1,Memo Heading 1,h1 + 11 pt,Before:  6 pt,After:  0 pt,h1,Heading 1 3GPP"/>
    <w:next w:val="a"/>
    <w:link w:val="10"/>
    <w:qFormat/>
    <w:rsid w:val="0054389C"/>
    <w:pPr>
      <w:keepNext/>
      <w:keepLines/>
      <w:numPr>
        <w:numId w:val="1"/>
      </w:numPr>
      <w:pBdr>
        <w:top w:val="single" w:sz="12" w:space="3" w:color="auto"/>
      </w:pBdr>
      <w:spacing w:before="240" w:after="180"/>
      <w:outlineLvl w:val="0"/>
    </w:pPr>
    <w:rPr>
      <w:rFonts w:ascii="Arial" w:eastAsia="宋体" w:hAnsi="Arial" w:cs="Arial"/>
      <w:color w:val="0000FF"/>
      <w:sz w:val="36"/>
      <w:szCs w:val="20"/>
      <w:lang w:val="en-GB" w:eastAsia="en-US"/>
    </w:rPr>
  </w:style>
  <w:style w:type="paragraph" w:styleId="2">
    <w:name w:val="heading 2"/>
    <w:basedOn w:val="a"/>
    <w:next w:val="a"/>
    <w:link w:val="20"/>
    <w:uiPriority w:val="9"/>
    <w:unhideWhenUsed/>
    <w:qFormat/>
    <w:rsid w:val="00F03B58"/>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4">
    <w:name w:val="heading 4"/>
    <w:basedOn w:val="a"/>
    <w:next w:val="a"/>
    <w:link w:val="40"/>
    <w:uiPriority w:val="9"/>
    <w:semiHidden/>
    <w:unhideWhenUsed/>
    <w:qFormat/>
    <w:rsid w:val="00C13FAF"/>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4"/>
    <w:unhideWhenUsed/>
    <w:rsid w:val="0054389C"/>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54389C"/>
    <w:rPr>
      <w:sz w:val="18"/>
      <w:szCs w:val="18"/>
    </w:rPr>
  </w:style>
  <w:style w:type="paragraph" w:styleId="a5">
    <w:name w:val="footer"/>
    <w:basedOn w:val="a"/>
    <w:link w:val="a6"/>
    <w:uiPriority w:val="99"/>
    <w:unhideWhenUsed/>
    <w:rsid w:val="0054389C"/>
    <w:pPr>
      <w:tabs>
        <w:tab w:val="center" w:pos="4153"/>
        <w:tab w:val="right" w:pos="8306"/>
      </w:tabs>
      <w:snapToGrid w:val="0"/>
      <w:jc w:val="left"/>
    </w:pPr>
    <w:rPr>
      <w:sz w:val="18"/>
      <w:szCs w:val="18"/>
    </w:rPr>
  </w:style>
  <w:style w:type="character" w:customStyle="1" w:styleId="a6">
    <w:name w:val="页脚 字符"/>
    <w:basedOn w:val="a0"/>
    <w:link w:val="a5"/>
    <w:uiPriority w:val="99"/>
    <w:rsid w:val="0054389C"/>
    <w:rPr>
      <w:sz w:val="18"/>
      <w:szCs w:val="18"/>
    </w:rPr>
  </w:style>
  <w:style w:type="character" w:customStyle="1" w:styleId="10">
    <w:name w:val="标题 1 字符"/>
    <w:aliases w:val="H1 字符,Memo Heading 1 字符,h1 + 11 pt 字符,Before:  6 pt 字符,After:  0 pt 字符,h1 字符,Heading 1 3GPP 字符"/>
    <w:basedOn w:val="a0"/>
    <w:link w:val="1"/>
    <w:rsid w:val="0054389C"/>
    <w:rPr>
      <w:rFonts w:ascii="Arial" w:eastAsia="宋体" w:hAnsi="Arial" w:cs="Arial"/>
      <w:color w:val="0000FF"/>
      <w:sz w:val="36"/>
      <w:szCs w:val="20"/>
      <w:lang w:val="en-GB" w:eastAsia="en-US"/>
    </w:rPr>
  </w:style>
  <w:style w:type="paragraph" w:styleId="a7">
    <w:name w:val="List Paragraph"/>
    <w:aliases w:val="- Bullets,목록 단락,リスト段落,?? ??,?????,????,Lista1,Bullet List,FooterText,列出段落1,中等深浅网格 1 - 着色 21,列表段落,¥¡¡¡¡ì¬º¥¹¥È¶ÎÂä,ÁÐ³ö¶ÎÂä,列表段落1,—ño’i—Ž,¥ê¥¹¥È¶ÎÂä,1st level - Bullet List Paragraph,Lettre d'introduction,Paragrafo elenco,Bullet list,R4_bullets"/>
    <w:basedOn w:val="a"/>
    <w:link w:val="a8"/>
    <w:uiPriority w:val="34"/>
    <w:qFormat/>
    <w:rsid w:val="000D163E"/>
    <w:pPr>
      <w:widowControl/>
      <w:ind w:left="720"/>
      <w:contextualSpacing/>
      <w:jc w:val="left"/>
    </w:pPr>
    <w:rPr>
      <w:rFonts w:ascii="Times New Roman" w:eastAsia="宋体" w:hAnsi="Times New Roman" w:cs="Times New Roman"/>
      <w:kern w:val="0"/>
      <w:sz w:val="24"/>
      <w:szCs w:val="24"/>
      <w:lang w:eastAsia="en-US"/>
    </w:rPr>
  </w:style>
  <w:style w:type="paragraph" w:styleId="a9">
    <w:name w:val="Normal (Web)"/>
    <w:basedOn w:val="a"/>
    <w:uiPriority w:val="99"/>
    <w:unhideWhenUsed/>
    <w:qFormat/>
    <w:rsid w:val="000D163E"/>
    <w:pPr>
      <w:widowControl/>
      <w:spacing w:before="100" w:beforeAutospacing="1" w:after="100" w:afterAutospacing="1"/>
      <w:jc w:val="left"/>
    </w:pPr>
    <w:rPr>
      <w:rFonts w:ascii="Times New Roman" w:eastAsia="宋体" w:hAnsi="Times New Roman" w:cs="Times New Roman"/>
      <w:kern w:val="0"/>
      <w:sz w:val="24"/>
      <w:szCs w:val="24"/>
      <w:lang w:eastAsia="en-US"/>
    </w:rPr>
  </w:style>
  <w:style w:type="character" w:customStyle="1" w:styleId="a8">
    <w:name w:val="列出段落 字符"/>
    <w:aliases w:val="- Bullets 字符,목록 단락 字符,リスト段落 字符,?? ?? 字符,????? 字符,???? 字符,Lista1 字符,Bullet List 字符,FooterText 字符,列出段落1 字符,中等深浅网格 1 - 着色 21 字符,列表段落 字符,¥¡¡¡¡ì¬º¥¹¥È¶ÎÂä 字符,ÁÐ³ö¶ÎÂä 字符,列表段落1 字符,—ño’i—Ž 字符,¥ê¥¹¥È¶ÎÂä 字符,1st level - Bullet List Paragraph 字符"/>
    <w:link w:val="a7"/>
    <w:uiPriority w:val="34"/>
    <w:qFormat/>
    <w:rsid w:val="000D163E"/>
    <w:rPr>
      <w:rFonts w:ascii="Times New Roman" w:eastAsia="宋体" w:hAnsi="Times New Roman" w:cs="Times New Roman"/>
      <w:kern w:val="0"/>
      <w:sz w:val="24"/>
      <w:szCs w:val="24"/>
      <w:lang w:eastAsia="en-US"/>
    </w:rPr>
  </w:style>
  <w:style w:type="paragraph" w:styleId="aa">
    <w:name w:val="caption"/>
    <w:basedOn w:val="a"/>
    <w:next w:val="a"/>
    <w:uiPriority w:val="35"/>
    <w:unhideWhenUsed/>
    <w:qFormat/>
    <w:rsid w:val="00A16533"/>
    <w:rPr>
      <w:rFonts w:asciiTheme="majorHAnsi" w:eastAsia="黑体" w:hAnsiTheme="majorHAnsi" w:cstheme="majorBidi"/>
      <w:sz w:val="20"/>
      <w:szCs w:val="20"/>
    </w:rPr>
  </w:style>
  <w:style w:type="character" w:customStyle="1" w:styleId="20">
    <w:name w:val="标题 2 字符"/>
    <w:basedOn w:val="a0"/>
    <w:link w:val="2"/>
    <w:uiPriority w:val="9"/>
    <w:rsid w:val="00F03B58"/>
    <w:rPr>
      <w:rFonts w:asciiTheme="majorHAnsi" w:eastAsiaTheme="majorEastAsia" w:hAnsiTheme="majorHAnsi" w:cstheme="majorBidi"/>
      <w:b/>
      <w:bCs/>
      <w:sz w:val="32"/>
      <w:szCs w:val="32"/>
    </w:rPr>
  </w:style>
  <w:style w:type="character" w:customStyle="1" w:styleId="jlqj4b">
    <w:name w:val="jlqj4b"/>
    <w:basedOn w:val="a0"/>
    <w:rsid w:val="000F428C"/>
  </w:style>
  <w:style w:type="paragraph" w:customStyle="1" w:styleId="PL">
    <w:name w:val="PL"/>
    <w:link w:val="PLChar"/>
    <w:qFormat/>
    <w:rsid w:val="00471A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471AA1"/>
    <w:rPr>
      <w:rFonts w:ascii="Courier New" w:eastAsia="Times New Roman" w:hAnsi="Courier New" w:cs="Times New Roman"/>
      <w:noProof/>
      <w:kern w:val="0"/>
      <w:sz w:val="16"/>
      <w:szCs w:val="20"/>
      <w:shd w:val="clear" w:color="auto" w:fill="E6E6E6"/>
      <w:lang w:val="en-GB" w:eastAsia="en-GB"/>
    </w:rPr>
  </w:style>
  <w:style w:type="paragraph" w:customStyle="1" w:styleId="B1">
    <w:name w:val="B1"/>
    <w:basedOn w:val="a"/>
    <w:link w:val="B1Char"/>
    <w:qFormat/>
    <w:rsid w:val="00CE3D40"/>
    <w:pPr>
      <w:widowControl/>
      <w:spacing w:after="180"/>
      <w:ind w:left="568" w:hanging="284"/>
      <w:jc w:val="left"/>
    </w:pPr>
    <w:rPr>
      <w:rFonts w:ascii="Times New Roman" w:eastAsia="宋体" w:hAnsi="Times New Roman" w:cs="Times New Roman"/>
      <w:kern w:val="0"/>
      <w:sz w:val="20"/>
      <w:szCs w:val="20"/>
      <w:lang w:val="en-GB" w:eastAsia="en-US"/>
    </w:rPr>
  </w:style>
  <w:style w:type="character" w:customStyle="1" w:styleId="B1Char">
    <w:name w:val="B1 Char"/>
    <w:link w:val="B1"/>
    <w:qFormat/>
    <w:rsid w:val="00CE3D40"/>
    <w:rPr>
      <w:rFonts w:ascii="Times New Roman" w:eastAsia="宋体" w:hAnsi="Times New Roman" w:cs="Times New Roman"/>
      <w:kern w:val="0"/>
      <w:sz w:val="20"/>
      <w:szCs w:val="20"/>
      <w:lang w:val="en-GB" w:eastAsia="en-US"/>
    </w:rPr>
  </w:style>
  <w:style w:type="table" w:styleId="ab">
    <w:name w:val="Table Grid"/>
    <w:basedOn w:val="a1"/>
    <w:qFormat/>
    <w:rsid w:val="0017577F"/>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EF6546"/>
    <w:rPr>
      <w:color w:val="808080"/>
    </w:rPr>
  </w:style>
  <w:style w:type="character" w:customStyle="1" w:styleId="40">
    <w:name w:val="标题 4 字符"/>
    <w:basedOn w:val="a0"/>
    <w:link w:val="4"/>
    <w:uiPriority w:val="9"/>
    <w:semiHidden/>
    <w:rsid w:val="00C13FAF"/>
    <w:rPr>
      <w:rFonts w:asciiTheme="majorHAnsi" w:eastAsiaTheme="majorEastAsia" w:hAnsiTheme="majorHAnsi" w:cstheme="majorBidi"/>
      <w:b/>
      <w:bCs/>
      <w:sz w:val="28"/>
      <w:szCs w:val="28"/>
    </w:rPr>
  </w:style>
  <w:style w:type="paragraph" w:styleId="ad">
    <w:name w:val="Body Text"/>
    <w:basedOn w:val="a"/>
    <w:link w:val="ae"/>
    <w:qFormat/>
    <w:rsid w:val="00780FFB"/>
    <w:pPr>
      <w:widowControl/>
      <w:spacing w:after="180" w:line="259" w:lineRule="auto"/>
      <w:jc w:val="left"/>
    </w:pPr>
    <w:rPr>
      <w:rFonts w:ascii="Times New Roman" w:eastAsia="宋体" w:hAnsi="Times New Roman" w:cs="Times New Roman"/>
      <w:kern w:val="0"/>
      <w:sz w:val="20"/>
      <w:szCs w:val="20"/>
      <w:lang w:val="en-GB" w:eastAsia="en-US"/>
    </w:rPr>
  </w:style>
  <w:style w:type="character" w:customStyle="1" w:styleId="ae">
    <w:name w:val="正文文本 字符"/>
    <w:basedOn w:val="a0"/>
    <w:link w:val="ad"/>
    <w:qFormat/>
    <w:rsid w:val="00780FFB"/>
    <w:rPr>
      <w:rFonts w:ascii="Times New Roman" w:eastAsia="宋体" w:hAnsi="Times New Roman" w:cs="Times New Roman"/>
      <w:kern w:val="0"/>
      <w:sz w:val="20"/>
      <w:szCs w:val="20"/>
      <w:lang w:val="en-GB" w:eastAsia="en-US"/>
    </w:rPr>
  </w:style>
  <w:style w:type="character" w:styleId="af">
    <w:name w:val="Emphasis"/>
    <w:uiPriority w:val="20"/>
    <w:qFormat/>
    <w:rsid w:val="0063287F"/>
    <w:rPr>
      <w:i/>
      <w:iCs/>
    </w:rPr>
  </w:style>
  <w:style w:type="paragraph" w:customStyle="1" w:styleId="Agreement">
    <w:name w:val="Agreement"/>
    <w:basedOn w:val="a"/>
    <w:next w:val="a"/>
    <w:qFormat/>
    <w:rsid w:val="000D645A"/>
    <w:pPr>
      <w:widowControl/>
      <w:numPr>
        <w:numId w:val="5"/>
      </w:numPr>
      <w:spacing w:before="60"/>
      <w:jc w:val="left"/>
    </w:pPr>
    <w:rPr>
      <w:rFonts w:ascii="Arial" w:eastAsia="MS Mincho" w:hAnsi="Arial" w:cs="Times New Roman"/>
      <w:b/>
      <w:kern w:val="0"/>
      <w:sz w:val="20"/>
      <w:szCs w:val="24"/>
      <w:lang w:val="en-GB" w:eastAsia="en-GB"/>
    </w:rPr>
  </w:style>
  <w:style w:type="character" w:customStyle="1" w:styleId="Char">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列 Char"/>
    <w:uiPriority w:val="34"/>
    <w:qFormat/>
    <w:locked/>
    <w:rsid w:val="004A4278"/>
    <w:rPr>
      <w:rFonts w:ascii="Times New Roman" w:hAnsi="Times New Roman"/>
      <w:lang w:val="en-GB" w:eastAsia="en-US"/>
    </w:rPr>
  </w:style>
  <w:style w:type="character" w:styleId="af0">
    <w:name w:val="annotation reference"/>
    <w:uiPriority w:val="99"/>
    <w:semiHidden/>
    <w:unhideWhenUsed/>
    <w:rsid w:val="00227064"/>
    <w:rPr>
      <w:sz w:val="16"/>
      <w:szCs w:val="16"/>
    </w:rPr>
  </w:style>
  <w:style w:type="paragraph" w:styleId="af1">
    <w:name w:val="annotation text"/>
    <w:basedOn w:val="a"/>
    <w:link w:val="11"/>
    <w:uiPriority w:val="99"/>
    <w:semiHidden/>
    <w:unhideWhenUsed/>
    <w:rsid w:val="00227064"/>
    <w:pPr>
      <w:widowControl/>
      <w:spacing w:after="180"/>
      <w:jc w:val="left"/>
    </w:pPr>
    <w:rPr>
      <w:rFonts w:ascii="Times New Roman" w:eastAsia="宋体" w:hAnsi="Times New Roman" w:cs="Times New Roman"/>
      <w:kern w:val="0"/>
      <w:sz w:val="20"/>
      <w:szCs w:val="20"/>
      <w:lang w:val="en-GB" w:eastAsia="en-US"/>
    </w:rPr>
  </w:style>
  <w:style w:type="character" w:customStyle="1" w:styleId="af2">
    <w:name w:val="批注文字 字符"/>
    <w:basedOn w:val="a0"/>
    <w:uiPriority w:val="99"/>
    <w:semiHidden/>
    <w:rsid w:val="00227064"/>
  </w:style>
  <w:style w:type="character" w:customStyle="1" w:styleId="11">
    <w:name w:val="批注文字 字符1"/>
    <w:link w:val="af1"/>
    <w:uiPriority w:val="99"/>
    <w:semiHidden/>
    <w:rsid w:val="00227064"/>
    <w:rPr>
      <w:rFonts w:ascii="Times New Roman" w:eastAsia="宋体" w:hAnsi="Times New Roman" w:cs="Times New Roman"/>
      <w:kern w:val="0"/>
      <w:sz w:val="20"/>
      <w:szCs w:val="20"/>
      <w:lang w:val="en-GB" w:eastAsia="en-US"/>
    </w:rPr>
  </w:style>
  <w:style w:type="paragraph" w:styleId="af3">
    <w:name w:val="Balloon Text"/>
    <w:basedOn w:val="a"/>
    <w:link w:val="af4"/>
    <w:uiPriority w:val="99"/>
    <w:semiHidden/>
    <w:unhideWhenUsed/>
    <w:rsid w:val="00227064"/>
    <w:rPr>
      <w:sz w:val="18"/>
      <w:szCs w:val="18"/>
    </w:rPr>
  </w:style>
  <w:style w:type="character" w:customStyle="1" w:styleId="af4">
    <w:name w:val="批注框文本 字符"/>
    <w:basedOn w:val="a0"/>
    <w:link w:val="af3"/>
    <w:uiPriority w:val="99"/>
    <w:semiHidden/>
    <w:rsid w:val="00227064"/>
    <w:rPr>
      <w:sz w:val="18"/>
      <w:szCs w:val="18"/>
    </w:rPr>
  </w:style>
  <w:style w:type="character" w:customStyle="1" w:styleId="B1Zchn">
    <w:name w:val="B1 Zchn"/>
    <w:qFormat/>
    <w:rsid w:val="0030255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804696">
      <w:bodyDiv w:val="1"/>
      <w:marLeft w:val="0"/>
      <w:marRight w:val="0"/>
      <w:marTop w:val="0"/>
      <w:marBottom w:val="0"/>
      <w:divBdr>
        <w:top w:val="none" w:sz="0" w:space="0" w:color="auto"/>
        <w:left w:val="none" w:sz="0" w:space="0" w:color="auto"/>
        <w:bottom w:val="none" w:sz="0" w:space="0" w:color="auto"/>
        <w:right w:val="none" w:sz="0" w:space="0" w:color="auto"/>
      </w:divBdr>
      <w:divsChild>
        <w:div w:id="1354264648">
          <w:marLeft w:val="360"/>
          <w:marRight w:val="0"/>
          <w:marTop w:val="200"/>
          <w:marBottom w:val="0"/>
          <w:divBdr>
            <w:top w:val="none" w:sz="0" w:space="0" w:color="auto"/>
            <w:left w:val="none" w:sz="0" w:space="0" w:color="auto"/>
            <w:bottom w:val="none" w:sz="0" w:space="0" w:color="auto"/>
            <w:right w:val="none" w:sz="0" w:space="0" w:color="auto"/>
          </w:divBdr>
        </w:div>
        <w:div w:id="1811707857">
          <w:marLeft w:val="1080"/>
          <w:marRight w:val="0"/>
          <w:marTop w:val="100"/>
          <w:marBottom w:val="0"/>
          <w:divBdr>
            <w:top w:val="none" w:sz="0" w:space="0" w:color="auto"/>
            <w:left w:val="none" w:sz="0" w:space="0" w:color="auto"/>
            <w:bottom w:val="none" w:sz="0" w:space="0" w:color="auto"/>
            <w:right w:val="none" w:sz="0" w:space="0" w:color="auto"/>
          </w:divBdr>
        </w:div>
        <w:div w:id="760636981">
          <w:marLeft w:val="1080"/>
          <w:marRight w:val="0"/>
          <w:marTop w:val="100"/>
          <w:marBottom w:val="0"/>
          <w:divBdr>
            <w:top w:val="none" w:sz="0" w:space="0" w:color="auto"/>
            <w:left w:val="none" w:sz="0" w:space="0" w:color="auto"/>
            <w:bottom w:val="none" w:sz="0" w:space="0" w:color="auto"/>
            <w:right w:val="none" w:sz="0" w:space="0" w:color="auto"/>
          </w:divBdr>
        </w:div>
        <w:div w:id="721635723">
          <w:marLeft w:val="1080"/>
          <w:marRight w:val="0"/>
          <w:marTop w:val="100"/>
          <w:marBottom w:val="0"/>
          <w:divBdr>
            <w:top w:val="none" w:sz="0" w:space="0" w:color="auto"/>
            <w:left w:val="none" w:sz="0" w:space="0" w:color="auto"/>
            <w:bottom w:val="none" w:sz="0" w:space="0" w:color="auto"/>
            <w:right w:val="none" w:sz="0" w:space="0" w:color="auto"/>
          </w:divBdr>
        </w:div>
        <w:div w:id="1500996958">
          <w:marLeft w:val="1080"/>
          <w:marRight w:val="0"/>
          <w:marTop w:val="100"/>
          <w:marBottom w:val="0"/>
          <w:divBdr>
            <w:top w:val="none" w:sz="0" w:space="0" w:color="auto"/>
            <w:left w:val="none" w:sz="0" w:space="0" w:color="auto"/>
            <w:bottom w:val="none" w:sz="0" w:space="0" w:color="auto"/>
            <w:right w:val="none" w:sz="0" w:space="0" w:color="auto"/>
          </w:divBdr>
        </w:div>
        <w:div w:id="594899746">
          <w:marLeft w:val="1080"/>
          <w:marRight w:val="0"/>
          <w:marTop w:val="100"/>
          <w:marBottom w:val="0"/>
          <w:divBdr>
            <w:top w:val="none" w:sz="0" w:space="0" w:color="auto"/>
            <w:left w:val="none" w:sz="0" w:space="0" w:color="auto"/>
            <w:bottom w:val="none" w:sz="0" w:space="0" w:color="auto"/>
            <w:right w:val="none" w:sz="0" w:space="0" w:color="auto"/>
          </w:divBdr>
        </w:div>
      </w:divsChild>
    </w:div>
    <w:div w:id="271087586">
      <w:bodyDiv w:val="1"/>
      <w:marLeft w:val="0"/>
      <w:marRight w:val="0"/>
      <w:marTop w:val="0"/>
      <w:marBottom w:val="0"/>
      <w:divBdr>
        <w:top w:val="none" w:sz="0" w:space="0" w:color="auto"/>
        <w:left w:val="none" w:sz="0" w:space="0" w:color="auto"/>
        <w:bottom w:val="none" w:sz="0" w:space="0" w:color="auto"/>
        <w:right w:val="none" w:sz="0" w:space="0" w:color="auto"/>
      </w:divBdr>
      <w:divsChild>
        <w:div w:id="500892978">
          <w:marLeft w:val="360"/>
          <w:marRight w:val="0"/>
          <w:marTop w:val="200"/>
          <w:marBottom w:val="0"/>
          <w:divBdr>
            <w:top w:val="none" w:sz="0" w:space="0" w:color="auto"/>
            <w:left w:val="none" w:sz="0" w:space="0" w:color="auto"/>
            <w:bottom w:val="none" w:sz="0" w:space="0" w:color="auto"/>
            <w:right w:val="none" w:sz="0" w:space="0" w:color="auto"/>
          </w:divBdr>
        </w:div>
        <w:div w:id="1079601809">
          <w:marLeft w:val="1080"/>
          <w:marRight w:val="0"/>
          <w:marTop w:val="100"/>
          <w:marBottom w:val="0"/>
          <w:divBdr>
            <w:top w:val="none" w:sz="0" w:space="0" w:color="auto"/>
            <w:left w:val="none" w:sz="0" w:space="0" w:color="auto"/>
            <w:bottom w:val="none" w:sz="0" w:space="0" w:color="auto"/>
            <w:right w:val="none" w:sz="0" w:space="0" w:color="auto"/>
          </w:divBdr>
        </w:div>
        <w:div w:id="685326752">
          <w:marLeft w:val="1080"/>
          <w:marRight w:val="0"/>
          <w:marTop w:val="100"/>
          <w:marBottom w:val="0"/>
          <w:divBdr>
            <w:top w:val="none" w:sz="0" w:space="0" w:color="auto"/>
            <w:left w:val="none" w:sz="0" w:space="0" w:color="auto"/>
            <w:bottom w:val="none" w:sz="0" w:space="0" w:color="auto"/>
            <w:right w:val="none" w:sz="0" w:space="0" w:color="auto"/>
          </w:divBdr>
        </w:div>
        <w:div w:id="1452044336">
          <w:marLeft w:val="1800"/>
          <w:marRight w:val="0"/>
          <w:marTop w:val="100"/>
          <w:marBottom w:val="0"/>
          <w:divBdr>
            <w:top w:val="none" w:sz="0" w:space="0" w:color="auto"/>
            <w:left w:val="none" w:sz="0" w:space="0" w:color="auto"/>
            <w:bottom w:val="none" w:sz="0" w:space="0" w:color="auto"/>
            <w:right w:val="none" w:sz="0" w:space="0" w:color="auto"/>
          </w:divBdr>
        </w:div>
      </w:divsChild>
    </w:div>
    <w:div w:id="738944822">
      <w:bodyDiv w:val="1"/>
      <w:marLeft w:val="0"/>
      <w:marRight w:val="0"/>
      <w:marTop w:val="0"/>
      <w:marBottom w:val="0"/>
      <w:divBdr>
        <w:top w:val="none" w:sz="0" w:space="0" w:color="auto"/>
        <w:left w:val="none" w:sz="0" w:space="0" w:color="auto"/>
        <w:bottom w:val="none" w:sz="0" w:space="0" w:color="auto"/>
        <w:right w:val="none" w:sz="0" w:space="0" w:color="auto"/>
      </w:divBdr>
    </w:div>
    <w:div w:id="739593117">
      <w:bodyDiv w:val="1"/>
      <w:marLeft w:val="0"/>
      <w:marRight w:val="0"/>
      <w:marTop w:val="0"/>
      <w:marBottom w:val="0"/>
      <w:divBdr>
        <w:top w:val="none" w:sz="0" w:space="0" w:color="auto"/>
        <w:left w:val="none" w:sz="0" w:space="0" w:color="auto"/>
        <w:bottom w:val="none" w:sz="0" w:space="0" w:color="auto"/>
        <w:right w:val="none" w:sz="0" w:space="0" w:color="auto"/>
      </w:divBdr>
      <w:divsChild>
        <w:div w:id="2050638590">
          <w:marLeft w:val="893"/>
          <w:marRight w:val="0"/>
          <w:marTop w:val="40"/>
          <w:marBottom w:val="80"/>
          <w:divBdr>
            <w:top w:val="none" w:sz="0" w:space="0" w:color="auto"/>
            <w:left w:val="none" w:sz="0" w:space="0" w:color="auto"/>
            <w:bottom w:val="none" w:sz="0" w:space="0" w:color="auto"/>
            <w:right w:val="none" w:sz="0" w:space="0" w:color="auto"/>
          </w:divBdr>
        </w:div>
      </w:divsChild>
    </w:div>
    <w:div w:id="777063227">
      <w:bodyDiv w:val="1"/>
      <w:marLeft w:val="0"/>
      <w:marRight w:val="0"/>
      <w:marTop w:val="0"/>
      <w:marBottom w:val="0"/>
      <w:divBdr>
        <w:top w:val="none" w:sz="0" w:space="0" w:color="auto"/>
        <w:left w:val="none" w:sz="0" w:space="0" w:color="auto"/>
        <w:bottom w:val="none" w:sz="0" w:space="0" w:color="auto"/>
        <w:right w:val="none" w:sz="0" w:space="0" w:color="auto"/>
      </w:divBdr>
      <w:divsChild>
        <w:div w:id="664474871">
          <w:marLeft w:val="360"/>
          <w:marRight w:val="0"/>
          <w:marTop w:val="200"/>
          <w:marBottom w:val="0"/>
          <w:divBdr>
            <w:top w:val="none" w:sz="0" w:space="0" w:color="auto"/>
            <w:left w:val="none" w:sz="0" w:space="0" w:color="auto"/>
            <w:bottom w:val="none" w:sz="0" w:space="0" w:color="auto"/>
            <w:right w:val="none" w:sz="0" w:space="0" w:color="auto"/>
          </w:divBdr>
        </w:div>
        <w:div w:id="311443736">
          <w:marLeft w:val="1080"/>
          <w:marRight w:val="0"/>
          <w:marTop w:val="100"/>
          <w:marBottom w:val="0"/>
          <w:divBdr>
            <w:top w:val="none" w:sz="0" w:space="0" w:color="auto"/>
            <w:left w:val="none" w:sz="0" w:space="0" w:color="auto"/>
            <w:bottom w:val="none" w:sz="0" w:space="0" w:color="auto"/>
            <w:right w:val="none" w:sz="0" w:space="0" w:color="auto"/>
          </w:divBdr>
        </w:div>
        <w:div w:id="935331704">
          <w:marLeft w:val="1800"/>
          <w:marRight w:val="0"/>
          <w:marTop w:val="100"/>
          <w:marBottom w:val="0"/>
          <w:divBdr>
            <w:top w:val="none" w:sz="0" w:space="0" w:color="auto"/>
            <w:left w:val="none" w:sz="0" w:space="0" w:color="auto"/>
            <w:bottom w:val="none" w:sz="0" w:space="0" w:color="auto"/>
            <w:right w:val="none" w:sz="0" w:space="0" w:color="auto"/>
          </w:divBdr>
        </w:div>
        <w:div w:id="1267154775">
          <w:marLeft w:val="1800"/>
          <w:marRight w:val="0"/>
          <w:marTop w:val="100"/>
          <w:marBottom w:val="0"/>
          <w:divBdr>
            <w:top w:val="none" w:sz="0" w:space="0" w:color="auto"/>
            <w:left w:val="none" w:sz="0" w:space="0" w:color="auto"/>
            <w:bottom w:val="none" w:sz="0" w:space="0" w:color="auto"/>
            <w:right w:val="none" w:sz="0" w:space="0" w:color="auto"/>
          </w:divBdr>
        </w:div>
        <w:div w:id="2026131468">
          <w:marLeft w:val="1800"/>
          <w:marRight w:val="0"/>
          <w:marTop w:val="100"/>
          <w:marBottom w:val="0"/>
          <w:divBdr>
            <w:top w:val="none" w:sz="0" w:space="0" w:color="auto"/>
            <w:left w:val="none" w:sz="0" w:space="0" w:color="auto"/>
            <w:bottom w:val="none" w:sz="0" w:space="0" w:color="auto"/>
            <w:right w:val="none" w:sz="0" w:space="0" w:color="auto"/>
          </w:divBdr>
        </w:div>
        <w:div w:id="1689794962">
          <w:marLeft w:val="1080"/>
          <w:marRight w:val="0"/>
          <w:marTop w:val="100"/>
          <w:marBottom w:val="0"/>
          <w:divBdr>
            <w:top w:val="none" w:sz="0" w:space="0" w:color="auto"/>
            <w:left w:val="none" w:sz="0" w:space="0" w:color="auto"/>
            <w:bottom w:val="none" w:sz="0" w:space="0" w:color="auto"/>
            <w:right w:val="none" w:sz="0" w:space="0" w:color="auto"/>
          </w:divBdr>
        </w:div>
        <w:div w:id="994988550">
          <w:marLeft w:val="1800"/>
          <w:marRight w:val="0"/>
          <w:marTop w:val="100"/>
          <w:marBottom w:val="0"/>
          <w:divBdr>
            <w:top w:val="none" w:sz="0" w:space="0" w:color="auto"/>
            <w:left w:val="none" w:sz="0" w:space="0" w:color="auto"/>
            <w:bottom w:val="none" w:sz="0" w:space="0" w:color="auto"/>
            <w:right w:val="none" w:sz="0" w:space="0" w:color="auto"/>
          </w:divBdr>
        </w:div>
        <w:div w:id="1413307770">
          <w:marLeft w:val="2520"/>
          <w:marRight w:val="0"/>
          <w:marTop w:val="100"/>
          <w:marBottom w:val="0"/>
          <w:divBdr>
            <w:top w:val="none" w:sz="0" w:space="0" w:color="auto"/>
            <w:left w:val="none" w:sz="0" w:space="0" w:color="auto"/>
            <w:bottom w:val="none" w:sz="0" w:space="0" w:color="auto"/>
            <w:right w:val="none" w:sz="0" w:space="0" w:color="auto"/>
          </w:divBdr>
        </w:div>
        <w:div w:id="756562511">
          <w:marLeft w:val="1800"/>
          <w:marRight w:val="0"/>
          <w:marTop w:val="100"/>
          <w:marBottom w:val="0"/>
          <w:divBdr>
            <w:top w:val="none" w:sz="0" w:space="0" w:color="auto"/>
            <w:left w:val="none" w:sz="0" w:space="0" w:color="auto"/>
            <w:bottom w:val="none" w:sz="0" w:space="0" w:color="auto"/>
            <w:right w:val="none" w:sz="0" w:space="0" w:color="auto"/>
          </w:divBdr>
        </w:div>
        <w:div w:id="2016371368">
          <w:marLeft w:val="1800"/>
          <w:marRight w:val="0"/>
          <w:marTop w:val="100"/>
          <w:marBottom w:val="0"/>
          <w:divBdr>
            <w:top w:val="none" w:sz="0" w:space="0" w:color="auto"/>
            <w:left w:val="none" w:sz="0" w:space="0" w:color="auto"/>
            <w:bottom w:val="none" w:sz="0" w:space="0" w:color="auto"/>
            <w:right w:val="none" w:sz="0" w:space="0" w:color="auto"/>
          </w:divBdr>
        </w:div>
        <w:div w:id="1525631914">
          <w:marLeft w:val="1800"/>
          <w:marRight w:val="0"/>
          <w:marTop w:val="100"/>
          <w:marBottom w:val="0"/>
          <w:divBdr>
            <w:top w:val="none" w:sz="0" w:space="0" w:color="auto"/>
            <w:left w:val="none" w:sz="0" w:space="0" w:color="auto"/>
            <w:bottom w:val="none" w:sz="0" w:space="0" w:color="auto"/>
            <w:right w:val="none" w:sz="0" w:space="0" w:color="auto"/>
          </w:divBdr>
        </w:div>
        <w:div w:id="2052604935">
          <w:marLeft w:val="2520"/>
          <w:marRight w:val="0"/>
          <w:marTop w:val="100"/>
          <w:marBottom w:val="0"/>
          <w:divBdr>
            <w:top w:val="none" w:sz="0" w:space="0" w:color="auto"/>
            <w:left w:val="none" w:sz="0" w:space="0" w:color="auto"/>
            <w:bottom w:val="none" w:sz="0" w:space="0" w:color="auto"/>
            <w:right w:val="none" w:sz="0" w:space="0" w:color="auto"/>
          </w:divBdr>
        </w:div>
        <w:div w:id="1860974130">
          <w:marLeft w:val="2520"/>
          <w:marRight w:val="0"/>
          <w:marTop w:val="100"/>
          <w:marBottom w:val="0"/>
          <w:divBdr>
            <w:top w:val="none" w:sz="0" w:space="0" w:color="auto"/>
            <w:left w:val="none" w:sz="0" w:space="0" w:color="auto"/>
            <w:bottom w:val="none" w:sz="0" w:space="0" w:color="auto"/>
            <w:right w:val="none" w:sz="0" w:space="0" w:color="auto"/>
          </w:divBdr>
        </w:div>
      </w:divsChild>
    </w:div>
    <w:div w:id="806244933">
      <w:bodyDiv w:val="1"/>
      <w:marLeft w:val="0"/>
      <w:marRight w:val="0"/>
      <w:marTop w:val="0"/>
      <w:marBottom w:val="0"/>
      <w:divBdr>
        <w:top w:val="none" w:sz="0" w:space="0" w:color="auto"/>
        <w:left w:val="none" w:sz="0" w:space="0" w:color="auto"/>
        <w:bottom w:val="none" w:sz="0" w:space="0" w:color="auto"/>
        <w:right w:val="none" w:sz="0" w:space="0" w:color="auto"/>
      </w:divBdr>
      <w:divsChild>
        <w:div w:id="20473467">
          <w:marLeft w:val="1166"/>
          <w:marRight w:val="0"/>
          <w:marTop w:val="96"/>
          <w:marBottom w:val="0"/>
          <w:divBdr>
            <w:top w:val="none" w:sz="0" w:space="0" w:color="auto"/>
            <w:left w:val="none" w:sz="0" w:space="0" w:color="auto"/>
            <w:bottom w:val="none" w:sz="0" w:space="0" w:color="auto"/>
            <w:right w:val="none" w:sz="0" w:space="0" w:color="auto"/>
          </w:divBdr>
        </w:div>
        <w:div w:id="1547176802">
          <w:marLeft w:val="1166"/>
          <w:marRight w:val="0"/>
          <w:marTop w:val="96"/>
          <w:marBottom w:val="0"/>
          <w:divBdr>
            <w:top w:val="none" w:sz="0" w:space="0" w:color="auto"/>
            <w:left w:val="none" w:sz="0" w:space="0" w:color="auto"/>
            <w:bottom w:val="none" w:sz="0" w:space="0" w:color="auto"/>
            <w:right w:val="none" w:sz="0" w:space="0" w:color="auto"/>
          </w:divBdr>
        </w:div>
        <w:div w:id="873269286">
          <w:marLeft w:val="1166"/>
          <w:marRight w:val="0"/>
          <w:marTop w:val="96"/>
          <w:marBottom w:val="0"/>
          <w:divBdr>
            <w:top w:val="none" w:sz="0" w:space="0" w:color="auto"/>
            <w:left w:val="none" w:sz="0" w:space="0" w:color="auto"/>
            <w:bottom w:val="none" w:sz="0" w:space="0" w:color="auto"/>
            <w:right w:val="none" w:sz="0" w:space="0" w:color="auto"/>
          </w:divBdr>
        </w:div>
      </w:divsChild>
    </w:div>
    <w:div w:id="827751858">
      <w:bodyDiv w:val="1"/>
      <w:marLeft w:val="0"/>
      <w:marRight w:val="0"/>
      <w:marTop w:val="0"/>
      <w:marBottom w:val="0"/>
      <w:divBdr>
        <w:top w:val="none" w:sz="0" w:space="0" w:color="auto"/>
        <w:left w:val="none" w:sz="0" w:space="0" w:color="auto"/>
        <w:bottom w:val="none" w:sz="0" w:space="0" w:color="auto"/>
        <w:right w:val="none" w:sz="0" w:space="0" w:color="auto"/>
      </w:divBdr>
      <w:divsChild>
        <w:div w:id="588659169">
          <w:marLeft w:val="893"/>
          <w:marRight w:val="0"/>
          <w:marTop w:val="40"/>
          <w:marBottom w:val="80"/>
          <w:divBdr>
            <w:top w:val="none" w:sz="0" w:space="0" w:color="auto"/>
            <w:left w:val="none" w:sz="0" w:space="0" w:color="auto"/>
            <w:bottom w:val="none" w:sz="0" w:space="0" w:color="auto"/>
            <w:right w:val="none" w:sz="0" w:space="0" w:color="auto"/>
          </w:divBdr>
        </w:div>
        <w:div w:id="1717001864">
          <w:marLeft w:val="893"/>
          <w:marRight w:val="0"/>
          <w:marTop w:val="40"/>
          <w:marBottom w:val="80"/>
          <w:divBdr>
            <w:top w:val="none" w:sz="0" w:space="0" w:color="auto"/>
            <w:left w:val="none" w:sz="0" w:space="0" w:color="auto"/>
            <w:bottom w:val="none" w:sz="0" w:space="0" w:color="auto"/>
            <w:right w:val="none" w:sz="0" w:space="0" w:color="auto"/>
          </w:divBdr>
        </w:div>
      </w:divsChild>
    </w:div>
    <w:div w:id="908880209">
      <w:bodyDiv w:val="1"/>
      <w:marLeft w:val="0"/>
      <w:marRight w:val="0"/>
      <w:marTop w:val="0"/>
      <w:marBottom w:val="0"/>
      <w:divBdr>
        <w:top w:val="none" w:sz="0" w:space="0" w:color="auto"/>
        <w:left w:val="none" w:sz="0" w:space="0" w:color="auto"/>
        <w:bottom w:val="none" w:sz="0" w:space="0" w:color="auto"/>
        <w:right w:val="none" w:sz="0" w:space="0" w:color="auto"/>
      </w:divBdr>
      <w:divsChild>
        <w:div w:id="63332812">
          <w:marLeft w:val="547"/>
          <w:marRight w:val="0"/>
          <w:marTop w:val="115"/>
          <w:marBottom w:val="0"/>
          <w:divBdr>
            <w:top w:val="none" w:sz="0" w:space="0" w:color="auto"/>
            <w:left w:val="none" w:sz="0" w:space="0" w:color="auto"/>
            <w:bottom w:val="none" w:sz="0" w:space="0" w:color="auto"/>
            <w:right w:val="none" w:sz="0" w:space="0" w:color="auto"/>
          </w:divBdr>
        </w:div>
        <w:div w:id="478688718">
          <w:marLeft w:val="1166"/>
          <w:marRight w:val="0"/>
          <w:marTop w:val="96"/>
          <w:marBottom w:val="0"/>
          <w:divBdr>
            <w:top w:val="none" w:sz="0" w:space="0" w:color="auto"/>
            <w:left w:val="none" w:sz="0" w:space="0" w:color="auto"/>
            <w:bottom w:val="none" w:sz="0" w:space="0" w:color="auto"/>
            <w:right w:val="none" w:sz="0" w:space="0" w:color="auto"/>
          </w:divBdr>
        </w:div>
        <w:div w:id="535583394">
          <w:marLeft w:val="1800"/>
          <w:marRight w:val="0"/>
          <w:marTop w:val="86"/>
          <w:marBottom w:val="0"/>
          <w:divBdr>
            <w:top w:val="none" w:sz="0" w:space="0" w:color="auto"/>
            <w:left w:val="none" w:sz="0" w:space="0" w:color="auto"/>
            <w:bottom w:val="none" w:sz="0" w:space="0" w:color="auto"/>
            <w:right w:val="none" w:sz="0" w:space="0" w:color="auto"/>
          </w:divBdr>
        </w:div>
        <w:div w:id="592322029">
          <w:marLeft w:val="1800"/>
          <w:marRight w:val="0"/>
          <w:marTop w:val="86"/>
          <w:marBottom w:val="0"/>
          <w:divBdr>
            <w:top w:val="none" w:sz="0" w:space="0" w:color="auto"/>
            <w:left w:val="none" w:sz="0" w:space="0" w:color="auto"/>
            <w:bottom w:val="none" w:sz="0" w:space="0" w:color="auto"/>
            <w:right w:val="none" w:sz="0" w:space="0" w:color="auto"/>
          </w:divBdr>
        </w:div>
        <w:div w:id="1404529620">
          <w:marLeft w:val="1800"/>
          <w:marRight w:val="0"/>
          <w:marTop w:val="86"/>
          <w:marBottom w:val="0"/>
          <w:divBdr>
            <w:top w:val="none" w:sz="0" w:space="0" w:color="auto"/>
            <w:left w:val="none" w:sz="0" w:space="0" w:color="auto"/>
            <w:bottom w:val="none" w:sz="0" w:space="0" w:color="auto"/>
            <w:right w:val="none" w:sz="0" w:space="0" w:color="auto"/>
          </w:divBdr>
        </w:div>
        <w:div w:id="1047216534">
          <w:marLeft w:val="547"/>
          <w:marRight w:val="0"/>
          <w:marTop w:val="115"/>
          <w:marBottom w:val="0"/>
          <w:divBdr>
            <w:top w:val="none" w:sz="0" w:space="0" w:color="auto"/>
            <w:left w:val="none" w:sz="0" w:space="0" w:color="auto"/>
            <w:bottom w:val="none" w:sz="0" w:space="0" w:color="auto"/>
            <w:right w:val="none" w:sz="0" w:space="0" w:color="auto"/>
          </w:divBdr>
        </w:div>
        <w:div w:id="2065834354">
          <w:marLeft w:val="1166"/>
          <w:marRight w:val="0"/>
          <w:marTop w:val="96"/>
          <w:marBottom w:val="0"/>
          <w:divBdr>
            <w:top w:val="none" w:sz="0" w:space="0" w:color="auto"/>
            <w:left w:val="none" w:sz="0" w:space="0" w:color="auto"/>
            <w:bottom w:val="none" w:sz="0" w:space="0" w:color="auto"/>
            <w:right w:val="none" w:sz="0" w:space="0" w:color="auto"/>
          </w:divBdr>
        </w:div>
      </w:divsChild>
    </w:div>
    <w:div w:id="1417248649">
      <w:bodyDiv w:val="1"/>
      <w:marLeft w:val="0"/>
      <w:marRight w:val="0"/>
      <w:marTop w:val="0"/>
      <w:marBottom w:val="0"/>
      <w:divBdr>
        <w:top w:val="none" w:sz="0" w:space="0" w:color="auto"/>
        <w:left w:val="none" w:sz="0" w:space="0" w:color="auto"/>
        <w:bottom w:val="none" w:sz="0" w:space="0" w:color="auto"/>
        <w:right w:val="none" w:sz="0" w:space="0" w:color="auto"/>
      </w:divBdr>
      <w:divsChild>
        <w:div w:id="1164008567">
          <w:marLeft w:val="360"/>
          <w:marRight w:val="0"/>
          <w:marTop w:val="200"/>
          <w:marBottom w:val="0"/>
          <w:divBdr>
            <w:top w:val="none" w:sz="0" w:space="0" w:color="auto"/>
            <w:left w:val="none" w:sz="0" w:space="0" w:color="auto"/>
            <w:bottom w:val="none" w:sz="0" w:space="0" w:color="auto"/>
            <w:right w:val="none" w:sz="0" w:space="0" w:color="auto"/>
          </w:divBdr>
        </w:div>
        <w:div w:id="1134716468">
          <w:marLeft w:val="1080"/>
          <w:marRight w:val="0"/>
          <w:marTop w:val="100"/>
          <w:marBottom w:val="0"/>
          <w:divBdr>
            <w:top w:val="none" w:sz="0" w:space="0" w:color="auto"/>
            <w:left w:val="none" w:sz="0" w:space="0" w:color="auto"/>
            <w:bottom w:val="none" w:sz="0" w:space="0" w:color="auto"/>
            <w:right w:val="none" w:sz="0" w:space="0" w:color="auto"/>
          </w:divBdr>
        </w:div>
        <w:div w:id="1030061342">
          <w:marLeft w:val="1080"/>
          <w:marRight w:val="0"/>
          <w:marTop w:val="100"/>
          <w:marBottom w:val="0"/>
          <w:divBdr>
            <w:top w:val="none" w:sz="0" w:space="0" w:color="auto"/>
            <w:left w:val="none" w:sz="0" w:space="0" w:color="auto"/>
            <w:bottom w:val="none" w:sz="0" w:space="0" w:color="auto"/>
            <w:right w:val="none" w:sz="0" w:space="0" w:color="auto"/>
          </w:divBdr>
        </w:div>
        <w:div w:id="1885629482">
          <w:marLeft w:val="1800"/>
          <w:marRight w:val="0"/>
          <w:marTop w:val="100"/>
          <w:marBottom w:val="0"/>
          <w:divBdr>
            <w:top w:val="none" w:sz="0" w:space="0" w:color="auto"/>
            <w:left w:val="none" w:sz="0" w:space="0" w:color="auto"/>
            <w:bottom w:val="none" w:sz="0" w:space="0" w:color="auto"/>
            <w:right w:val="none" w:sz="0" w:space="0" w:color="auto"/>
          </w:divBdr>
        </w:div>
        <w:div w:id="409741462">
          <w:marLeft w:val="1800"/>
          <w:marRight w:val="0"/>
          <w:marTop w:val="100"/>
          <w:marBottom w:val="0"/>
          <w:divBdr>
            <w:top w:val="none" w:sz="0" w:space="0" w:color="auto"/>
            <w:left w:val="none" w:sz="0" w:space="0" w:color="auto"/>
            <w:bottom w:val="none" w:sz="0" w:space="0" w:color="auto"/>
            <w:right w:val="none" w:sz="0" w:space="0" w:color="auto"/>
          </w:divBdr>
        </w:div>
        <w:div w:id="582690259">
          <w:marLeft w:val="1800"/>
          <w:marRight w:val="0"/>
          <w:marTop w:val="100"/>
          <w:marBottom w:val="0"/>
          <w:divBdr>
            <w:top w:val="none" w:sz="0" w:space="0" w:color="auto"/>
            <w:left w:val="none" w:sz="0" w:space="0" w:color="auto"/>
            <w:bottom w:val="none" w:sz="0" w:space="0" w:color="auto"/>
            <w:right w:val="none" w:sz="0" w:space="0" w:color="auto"/>
          </w:divBdr>
        </w:div>
        <w:div w:id="1357388632">
          <w:marLeft w:val="360"/>
          <w:marRight w:val="0"/>
          <w:marTop w:val="200"/>
          <w:marBottom w:val="0"/>
          <w:divBdr>
            <w:top w:val="none" w:sz="0" w:space="0" w:color="auto"/>
            <w:left w:val="none" w:sz="0" w:space="0" w:color="auto"/>
            <w:bottom w:val="none" w:sz="0" w:space="0" w:color="auto"/>
            <w:right w:val="none" w:sz="0" w:space="0" w:color="auto"/>
          </w:divBdr>
        </w:div>
        <w:div w:id="1410469069">
          <w:marLeft w:val="1080"/>
          <w:marRight w:val="0"/>
          <w:marTop w:val="100"/>
          <w:marBottom w:val="0"/>
          <w:divBdr>
            <w:top w:val="none" w:sz="0" w:space="0" w:color="auto"/>
            <w:left w:val="none" w:sz="0" w:space="0" w:color="auto"/>
            <w:bottom w:val="none" w:sz="0" w:space="0" w:color="auto"/>
            <w:right w:val="none" w:sz="0" w:space="0" w:color="auto"/>
          </w:divBdr>
        </w:div>
        <w:div w:id="1168982694">
          <w:marLeft w:val="1080"/>
          <w:marRight w:val="0"/>
          <w:marTop w:val="100"/>
          <w:marBottom w:val="0"/>
          <w:divBdr>
            <w:top w:val="none" w:sz="0" w:space="0" w:color="auto"/>
            <w:left w:val="none" w:sz="0" w:space="0" w:color="auto"/>
            <w:bottom w:val="none" w:sz="0" w:space="0" w:color="auto"/>
            <w:right w:val="none" w:sz="0" w:space="0" w:color="auto"/>
          </w:divBdr>
        </w:div>
        <w:div w:id="270403082">
          <w:marLeft w:val="1080"/>
          <w:marRight w:val="0"/>
          <w:marTop w:val="100"/>
          <w:marBottom w:val="0"/>
          <w:divBdr>
            <w:top w:val="none" w:sz="0" w:space="0" w:color="auto"/>
            <w:left w:val="none" w:sz="0" w:space="0" w:color="auto"/>
            <w:bottom w:val="none" w:sz="0" w:space="0" w:color="auto"/>
            <w:right w:val="none" w:sz="0" w:space="0" w:color="auto"/>
          </w:divBdr>
        </w:div>
        <w:div w:id="1956255541">
          <w:marLeft w:val="1080"/>
          <w:marRight w:val="0"/>
          <w:marTop w:val="100"/>
          <w:marBottom w:val="0"/>
          <w:divBdr>
            <w:top w:val="none" w:sz="0" w:space="0" w:color="auto"/>
            <w:left w:val="none" w:sz="0" w:space="0" w:color="auto"/>
            <w:bottom w:val="none" w:sz="0" w:space="0" w:color="auto"/>
            <w:right w:val="none" w:sz="0" w:space="0" w:color="auto"/>
          </w:divBdr>
        </w:div>
      </w:divsChild>
    </w:div>
    <w:div w:id="1582370099">
      <w:bodyDiv w:val="1"/>
      <w:marLeft w:val="0"/>
      <w:marRight w:val="0"/>
      <w:marTop w:val="0"/>
      <w:marBottom w:val="0"/>
      <w:divBdr>
        <w:top w:val="none" w:sz="0" w:space="0" w:color="auto"/>
        <w:left w:val="none" w:sz="0" w:space="0" w:color="auto"/>
        <w:bottom w:val="none" w:sz="0" w:space="0" w:color="auto"/>
        <w:right w:val="none" w:sz="0" w:space="0" w:color="auto"/>
      </w:divBdr>
      <w:divsChild>
        <w:div w:id="240648939">
          <w:marLeft w:val="360"/>
          <w:marRight w:val="0"/>
          <w:marTop w:val="200"/>
          <w:marBottom w:val="0"/>
          <w:divBdr>
            <w:top w:val="none" w:sz="0" w:space="0" w:color="auto"/>
            <w:left w:val="none" w:sz="0" w:space="0" w:color="auto"/>
            <w:bottom w:val="none" w:sz="0" w:space="0" w:color="auto"/>
            <w:right w:val="none" w:sz="0" w:space="0" w:color="auto"/>
          </w:divBdr>
        </w:div>
        <w:div w:id="601377567">
          <w:marLeft w:val="1080"/>
          <w:marRight w:val="0"/>
          <w:marTop w:val="100"/>
          <w:marBottom w:val="0"/>
          <w:divBdr>
            <w:top w:val="none" w:sz="0" w:space="0" w:color="auto"/>
            <w:left w:val="none" w:sz="0" w:space="0" w:color="auto"/>
            <w:bottom w:val="none" w:sz="0" w:space="0" w:color="auto"/>
            <w:right w:val="none" w:sz="0" w:space="0" w:color="auto"/>
          </w:divBdr>
        </w:div>
        <w:div w:id="1396199028">
          <w:marLeft w:val="1800"/>
          <w:marRight w:val="0"/>
          <w:marTop w:val="100"/>
          <w:marBottom w:val="0"/>
          <w:divBdr>
            <w:top w:val="none" w:sz="0" w:space="0" w:color="auto"/>
            <w:left w:val="none" w:sz="0" w:space="0" w:color="auto"/>
            <w:bottom w:val="none" w:sz="0" w:space="0" w:color="auto"/>
            <w:right w:val="none" w:sz="0" w:space="0" w:color="auto"/>
          </w:divBdr>
        </w:div>
        <w:div w:id="26104791">
          <w:marLeft w:val="1800"/>
          <w:marRight w:val="0"/>
          <w:marTop w:val="100"/>
          <w:marBottom w:val="0"/>
          <w:divBdr>
            <w:top w:val="none" w:sz="0" w:space="0" w:color="auto"/>
            <w:left w:val="none" w:sz="0" w:space="0" w:color="auto"/>
            <w:bottom w:val="none" w:sz="0" w:space="0" w:color="auto"/>
            <w:right w:val="none" w:sz="0" w:space="0" w:color="auto"/>
          </w:divBdr>
        </w:div>
        <w:div w:id="869882200">
          <w:marLeft w:val="1800"/>
          <w:marRight w:val="0"/>
          <w:marTop w:val="100"/>
          <w:marBottom w:val="0"/>
          <w:divBdr>
            <w:top w:val="none" w:sz="0" w:space="0" w:color="auto"/>
            <w:left w:val="none" w:sz="0" w:space="0" w:color="auto"/>
            <w:bottom w:val="none" w:sz="0" w:space="0" w:color="auto"/>
            <w:right w:val="none" w:sz="0" w:space="0" w:color="auto"/>
          </w:divBdr>
        </w:div>
        <w:div w:id="1137265431">
          <w:marLeft w:val="1080"/>
          <w:marRight w:val="0"/>
          <w:marTop w:val="100"/>
          <w:marBottom w:val="0"/>
          <w:divBdr>
            <w:top w:val="none" w:sz="0" w:space="0" w:color="auto"/>
            <w:left w:val="none" w:sz="0" w:space="0" w:color="auto"/>
            <w:bottom w:val="none" w:sz="0" w:space="0" w:color="auto"/>
            <w:right w:val="none" w:sz="0" w:space="0" w:color="auto"/>
          </w:divBdr>
        </w:div>
        <w:div w:id="523790250">
          <w:marLeft w:val="1800"/>
          <w:marRight w:val="0"/>
          <w:marTop w:val="100"/>
          <w:marBottom w:val="0"/>
          <w:divBdr>
            <w:top w:val="none" w:sz="0" w:space="0" w:color="auto"/>
            <w:left w:val="none" w:sz="0" w:space="0" w:color="auto"/>
            <w:bottom w:val="none" w:sz="0" w:space="0" w:color="auto"/>
            <w:right w:val="none" w:sz="0" w:space="0" w:color="auto"/>
          </w:divBdr>
        </w:div>
        <w:div w:id="94641591">
          <w:marLeft w:val="2520"/>
          <w:marRight w:val="0"/>
          <w:marTop w:val="100"/>
          <w:marBottom w:val="0"/>
          <w:divBdr>
            <w:top w:val="none" w:sz="0" w:space="0" w:color="auto"/>
            <w:left w:val="none" w:sz="0" w:space="0" w:color="auto"/>
            <w:bottom w:val="none" w:sz="0" w:space="0" w:color="auto"/>
            <w:right w:val="none" w:sz="0" w:space="0" w:color="auto"/>
          </w:divBdr>
        </w:div>
        <w:div w:id="892698192">
          <w:marLeft w:val="1800"/>
          <w:marRight w:val="0"/>
          <w:marTop w:val="100"/>
          <w:marBottom w:val="0"/>
          <w:divBdr>
            <w:top w:val="none" w:sz="0" w:space="0" w:color="auto"/>
            <w:left w:val="none" w:sz="0" w:space="0" w:color="auto"/>
            <w:bottom w:val="none" w:sz="0" w:space="0" w:color="auto"/>
            <w:right w:val="none" w:sz="0" w:space="0" w:color="auto"/>
          </w:divBdr>
        </w:div>
        <w:div w:id="1006060981">
          <w:marLeft w:val="1800"/>
          <w:marRight w:val="0"/>
          <w:marTop w:val="100"/>
          <w:marBottom w:val="0"/>
          <w:divBdr>
            <w:top w:val="none" w:sz="0" w:space="0" w:color="auto"/>
            <w:left w:val="none" w:sz="0" w:space="0" w:color="auto"/>
            <w:bottom w:val="none" w:sz="0" w:space="0" w:color="auto"/>
            <w:right w:val="none" w:sz="0" w:space="0" w:color="auto"/>
          </w:divBdr>
        </w:div>
        <w:div w:id="776757370">
          <w:marLeft w:val="1800"/>
          <w:marRight w:val="0"/>
          <w:marTop w:val="100"/>
          <w:marBottom w:val="0"/>
          <w:divBdr>
            <w:top w:val="none" w:sz="0" w:space="0" w:color="auto"/>
            <w:left w:val="none" w:sz="0" w:space="0" w:color="auto"/>
            <w:bottom w:val="none" w:sz="0" w:space="0" w:color="auto"/>
            <w:right w:val="none" w:sz="0" w:space="0" w:color="auto"/>
          </w:divBdr>
        </w:div>
        <w:div w:id="1109397922">
          <w:marLeft w:val="2520"/>
          <w:marRight w:val="0"/>
          <w:marTop w:val="100"/>
          <w:marBottom w:val="0"/>
          <w:divBdr>
            <w:top w:val="none" w:sz="0" w:space="0" w:color="auto"/>
            <w:left w:val="none" w:sz="0" w:space="0" w:color="auto"/>
            <w:bottom w:val="none" w:sz="0" w:space="0" w:color="auto"/>
            <w:right w:val="none" w:sz="0" w:space="0" w:color="auto"/>
          </w:divBdr>
        </w:div>
        <w:div w:id="1525247126">
          <w:marLeft w:val="2520"/>
          <w:marRight w:val="0"/>
          <w:marTop w:val="100"/>
          <w:marBottom w:val="0"/>
          <w:divBdr>
            <w:top w:val="none" w:sz="0" w:space="0" w:color="auto"/>
            <w:left w:val="none" w:sz="0" w:space="0" w:color="auto"/>
            <w:bottom w:val="none" w:sz="0" w:space="0" w:color="auto"/>
            <w:right w:val="none" w:sz="0" w:space="0" w:color="auto"/>
          </w:divBdr>
        </w:div>
      </w:divsChild>
    </w:div>
    <w:div w:id="1752777431">
      <w:bodyDiv w:val="1"/>
      <w:marLeft w:val="0"/>
      <w:marRight w:val="0"/>
      <w:marTop w:val="0"/>
      <w:marBottom w:val="0"/>
      <w:divBdr>
        <w:top w:val="none" w:sz="0" w:space="0" w:color="auto"/>
        <w:left w:val="none" w:sz="0" w:space="0" w:color="auto"/>
        <w:bottom w:val="none" w:sz="0" w:space="0" w:color="auto"/>
        <w:right w:val="none" w:sz="0" w:space="0" w:color="auto"/>
      </w:divBdr>
      <w:divsChild>
        <w:div w:id="1384056692">
          <w:marLeft w:val="360"/>
          <w:marRight w:val="0"/>
          <w:marTop w:val="200"/>
          <w:marBottom w:val="0"/>
          <w:divBdr>
            <w:top w:val="none" w:sz="0" w:space="0" w:color="auto"/>
            <w:left w:val="none" w:sz="0" w:space="0" w:color="auto"/>
            <w:bottom w:val="none" w:sz="0" w:space="0" w:color="auto"/>
            <w:right w:val="none" w:sz="0" w:space="0" w:color="auto"/>
          </w:divBdr>
        </w:div>
        <w:div w:id="2084721526">
          <w:marLeft w:val="360"/>
          <w:marRight w:val="0"/>
          <w:marTop w:val="200"/>
          <w:marBottom w:val="0"/>
          <w:divBdr>
            <w:top w:val="none" w:sz="0" w:space="0" w:color="auto"/>
            <w:left w:val="none" w:sz="0" w:space="0" w:color="auto"/>
            <w:bottom w:val="none" w:sz="0" w:space="0" w:color="auto"/>
            <w:right w:val="none" w:sz="0" w:space="0" w:color="auto"/>
          </w:divBdr>
        </w:div>
      </w:divsChild>
    </w:div>
    <w:div w:id="1831603214">
      <w:bodyDiv w:val="1"/>
      <w:marLeft w:val="0"/>
      <w:marRight w:val="0"/>
      <w:marTop w:val="0"/>
      <w:marBottom w:val="0"/>
      <w:divBdr>
        <w:top w:val="none" w:sz="0" w:space="0" w:color="auto"/>
        <w:left w:val="none" w:sz="0" w:space="0" w:color="auto"/>
        <w:bottom w:val="none" w:sz="0" w:space="0" w:color="auto"/>
        <w:right w:val="none" w:sz="0" w:space="0" w:color="auto"/>
      </w:divBdr>
      <w:divsChild>
        <w:div w:id="1465153080">
          <w:marLeft w:val="360"/>
          <w:marRight w:val="0"/>
          <w:marTop w:val="200"/>
          <w:marBottom w:val="0"/>
          <w:divBdr>
            <w:top w:val="none" w:sz="0" w:space="0" w:color="auto"/>
            <w:left w:val="none" w:sz="0" w:space="0" w:color="auto"/>
            <w:bottom w:val="none" w:sz="0" w:space="0" w:color="auto"/>
            <w:right w:val="none" w:sz="0" w:space="0" w:color="auto"/>
          </w:divBdr>
        </w:div>
        <w:div w:id="1728992790">
          <w:marLeft w:val="1080"/>
          <w:marRight w:val="0"/>
          <w:marTop w:val="100"/>
          <w:marBottom w:val="0"/>
          <w:divBdr>
            <w:top w:val="none" w:sz="0" w:space="0" w:color="auto"/>
            <w:left w:val="none" w:sz="0" w:space="0" w:color="auto"/>
            <w:bottom w:val="none" w:sz="0" w:space="0" w:color="auto"/>
            <w:right w:val="none" w:sz="0" w:space="0" w:color="auto"/>
          </w:divBdr>
        </w:div>
        <w:div w:id="443232034">
          <w:marLeft w:val="1800"/>
          <w:marRight w:val="0"/>
          <w:marTop w:val="100"/>
          <w:marBottom w:val="0"/>
          <w:divBdr>
            <w:top w:val="none" w:sz="0" w:space="0" w:color="auto"/>
            <w:left w:val="none" w:sz="0" w:space="0" w:color="auto"/>
            <w:bottom w:val="none" w:sz="0" w:space="0" w:color="auto"/>
            <w:right w:val="none" w:sz="0" w:space="0" w:color="auto"/>
          </w:divBdr>
        </w:div>
        <w:div w:id="875891390">
          <w:marLeft w:val="1800"/>
          <w:marRight w:val="0"/>
          <w:marTop w:val="100"/>
          <w:marBottom w:val="0"/>
          <w:divBdr>
            <w:top w:val="none" w:sz="0" w:space="0" w:color="auto"/>
            <w:left w:val="none" w:sz="0" w:space="0" w:color="auto"/>
            <w:bottom w:val="none" w:sz="0" w:space="0" w:color="auto"/>
            <w:right w:val="none" w:sz="0" w:space="0" w:color="auto"/>
          </w:divBdr>
        </w:div>
        <w:div w:id="1383096718">
          <w:marLeft w:val="1800"/>
          <w:marRight w:val="0"/>
          <w:marTop w:val="100"/>
          <w:marBottom w:val="0"/>
          <w:divBdr>
            <w:top w:val="none" w:sz="0" w:space="0" w:color="auto"/>
            <w:left w:val="none" w:sz="0" w:space="0" w:color="auto"/>
            <w:bottom w:val="none" w:sz="0" w:space="0" w:color="auto"/>
            <w:right w:val="none" w:sz="0" w:space="0" w:color="auto"/>
          </w:divBdr>
        </w:div>
        <w:div w:id="1545629356">
          <w:marLeft w:val="1080"/>
          <w:marRight w:val="0"/>
          <w:marTop w:val="100"/>
          <w:marBottom w:val="0"/>
          <w:divBdr>
            <w:top w:val="none" w:sz="0" w:space="0" w:color="auto"/>
            <w:left w:val="none" w:sz="0" w:space="0" w:color="auto"/>
            <w:bottom w:val="none" w:sz="0" w:space="0" w:color="auto"/>
            <w:right w:val="none" w:sz="0" w:space="0" w:color="auto"/>
          </w:divBdr>
        </w:div>
        <w:div w:id="676154127">
          <w:marLeft w:val="1800"/>
          <w:marRight w:val="0"/>
          <w:marTop w:val="100"/>
          <w:marBottom w:val="0"/>
          <w:divBdr>
            <w:top w:val="none" w:sz="0" w:space="0" w:color="auto"/>
            <w:left w:val="none" w:sz="0" w:space="0" w:color="auto"/>
            <w:bottom w:val="none" w:sz="0" w:space="0" w:color="auto"/>
            <w:right w:val="none" w:sz="0" w:space="0" w:color="auto"/>
          </w:divBdr>
        </w:div>
        <w:div w:id="797182484">
          <w:marLeft w:val="2520"/>
          <w:marRight w:val="0"/>
          <w:marTop w:val="100"/>
          <w:marBottom w:val="0"/>
          <w:divBdr>
            <w:top w:val="none" w:sz="0" w:space="0" w:color="auto"/>
            <w:left w:val="none" w:sz="0" w:space="0" w:color="auto"/>
            <w:bottom w:val="none" w:sz="0" w:space="0" w:color="auto"/>
            <w:right w:val="none" w:sz="0" w:space="0" w:color="auto"/>
          </w:divBdr>
        </w:div>
        <w:div w:id="2015451003">
          <w:marLeft w:val="1800"/>
          <w:marRight w:val="0"/>
          <w:marTop w:val="100"/>
          <w:marBottom w:val="0"/>
          <w:divBdr>
            <w:top w:val="none" w:sz="0" w:space="0" w:color="auto"/>
            <w:left w:val="none" w:sz="0" w:space="0" w:color="auto"/>
            <w:bottom w:val="none" w:sz="0" w:space="0" w:color="auto"/>
            <w:right w:val="none" w:sz="0" w:space="0" w:color="auto"/>
          </w:divBdr>
        </w:div>
        <w:div w:id="1194731246">
          <w:marLeft w:val="1800"/>
          <w:marRight w:val="0"/>
          <w:marTop w:val="100"/>
          <w:marBottom w:val="0"/>
          <w:divBdr>
            <w:top w:val="none" w:sz="0" w:space="0" w:color="auto"/>
            <w:left w:val="none" w:sz="0" w:space="0" w:color="auto"/>
            <w:bottom w:val="none" w:sz="0" w:space="0" w:color="auto"/>
            <w:right w:val="none" w:sz="0" w:space="0" w:color="auto"/>
          </w:divBdr>
        </w:div>
        <w:div w:id="2068021149">
          <w:marLeft w:val="1800"/>
          <w:marRight w:val="0"/>
          <w:marTop w:val="100"/>
          <w:marBottom w:val="0"/>
          <w:divBdr>
            <w:top w:val="none" w:sz="0" w:space="0" w:color="auto"/>
            <w:left w:val="none" w:sz="0" w:space="0" w:color="auto"/>
            <w:bottom w:val="none" w:sz="0" w:space="0" w:color="auto"/>
            <w:right w:val="none" w:sz="0" w:space="0" w:color="auto"/>
          </w:divBdr>
        </w:div>
        <w:div w:id="607810788">
          <w:marLeft w:val="2520"/>
          <w:marRight w:val="0"/>
          <w:marTop w:val="100"/>
          <w:marBottom w:val="0"/>
          <w:divBdr>
            <w:top w:val="none" w:sz="0" w:space="0" w:color="auto"/>
            <w:left w:val="none" w:sz="0" w:space="0" w:color="auto"/>
            <w:bottom w:val="none" w:sz="0" w:space="0" w:color="auto"/>
            <w:right w:val="none" w:sz="0" w:space="0" w:color="auto"/>
          </w:divBdr>
        </w:div>
        <w:div w:id="131796655">
          <w:marLeft w:val="2520"/>
          <w:marRight w:val="0"/>
          <w:marTop w:val="100"/>
          <w:marBottom w:val="0"/>
          <w:divBdr>
            <w:top w:val="none" w:sz="0" w:space="0" w:color="auto"/>
            <w:left w:val="none" w:sz="0" w:space="0" w:color="auto"/>
            <w:bottom w:val="none" w:sz="0" w:space="0" w:color="auto"/>
            <w:right w:val="none" w:sz="0" w:space="0" w:color="auto"/>
          </w:divBdr>
        </w:div>
      </w:divsChild>
    </w:div>
    <w:div w:id="1855417354">
      <w:bodyDiv w:val="1"/>
      <w:marLeft w:val="0"/>
      <w:marRight w:val="0"/>
      <w:marTop w:val="0"/>
      <w:marBottom w:val="0"/>
      <w:divBdr>
        <w:top w:val="none" w:sz="0" w:space="0" w:color="auto"/>
        <w:left w:val="none" w:sz="0" w:space="0" w:color="auto"/>
        <w:bottom w:val="none" w:sz="0" w:space="0" w:color="auto"/>
        <w:right w:val="none" w:sz="0" w:space="0" w:color="auto"/>
      </w:divBdr>
      <w:divsChild>
        <w:div w:id="151992871">
          <w:marLeft w:val="1080"/>
          <w:marRight w:val="0"/>
          <w:marTop w:val="100"/>
          <w:marBottom w:val="0"/>
          <w:divBdr>
            <w:top w:val="none" w:sz="0" w:space="0" w:color="auto"/>
            <w:left w:val="none" w:sz="0" w:space="0" w:color="auto"/>
            <w:bottom w:val="none" w:sz="0" w:space="0" w:color="auto"/>
            <w:right w:val="none" w:sz="0" w:space="0" w:color="auto"/>
          </w:divBdr>
        </w:div>
        <w:div w:id="1783374811">
          <w:marLeft w:val="1080"/>
          <w:marRight w:val="0"/>
          <w:marTop w:val="100"/>
          <w:marBottom w:val="0"/>
          <w:divBdr>
            <w:top w:val="none" w:sz="0" w:space="0" w:color="auto"/>
            <w:left w:val="none" w:sz="0" w:space="0" w:color="auto"/>
            <w:bottom w:val="none" w:sz="0" w:space="0" w:color="auto"/>
            <w:right w:val="none" w:sz="0" w:space="0" w:color="auto"/>
          </w:divBdr>
        </w:div>
        <w:div w:id="1664507173">
          <w:marLeft w:val="1080"/>
          <w:marRight w:val="0"/>
          <w:marTop w:val="100"/>
          <w:marBottom w:val="0"/>
          <w:divBdr>
            <w:top w:val="none" w:sz="0" w:space="0" w:color="auto"/>
            <w:left w:val="none" w:sz="0" w:space="0" w:color="auto"/>
            <w:bottom w:val="none" w:sz="0" w:space="0" w:color="auto"/>
            <w:right w:val="none" w:sz="0" w:space="0" w:color="auto"/>
          </w:divBdr>
        </w:div>
        <w:div w:id="1626154813">
          <w:marLeft w:val="1080"/>
          <w:marRight w:val="0"/>
          <w:marTop w:val="100"/>
          <w:marBottom w:val="0"/>
          <w:divBdr>
            <w:top w:val="none" w:sz="0" w:space="0" w:color="auto"/>
            <w:left w:val="none" w:sz="0" w:space="0" w:color="auto"/>
            <w:bottom w:val="none" w:sz="0" w:space="0" w:color="auto"/>
            <w:right w:val="none" w:sz="0" w:space="0" w:color="auto"/>
          </w:divBdr>
        </w:div>
        <w:div w:id="850489471">
          <w:marLeft w:val="1800"/>
          <w:marRight w:val="0"/>
          <w:marTop w:val="100"/>
          <w:marBottom w:val="0"/>
          <w:divBdr>
            <w:top w:val="none" w:sz="0" w:space="0" w:color="auto"/>
            <w:left w:val="none" w:sz="0" w:space="0" w:color="auto"/>
            <w:bottom w:val="none" w:sz="0" w:space="0" w:color="auto"/>
            <w:right w:val="none" w:sz="0" w:space="0" w:color="auto"/>
          </w:divBdr>
        </w:div>
      </w:divsChild>
    </w:div>
    <w:div w:id="1950626918">
      <w:bodyDiv w:val="1"/>
      <w:marLeft w:val="0"/>
      <w:marRight w:val="0"/>
      <w:marTop w:val="0"/>
      <w:marBottom w:val="0"/>
      <w:divBdr>
        <w:top w:val="none" w:sz="0" w:space="0" w:color="auto"/>
        <w:left w:val="none" w:sz="0" w:space="0" w:color="auto"/>
        <w:bottom w:val="none" w:sz="0" w:space="0" w:color="auto"/>
        <w:right w:val="none" w:sz="0" w:space="0" w:color="auto"/>
      </w:divBdr>
    </w:div>
    <w:div w:id="2080130759">
      <w:bodyDiv w:val="1"/>
      <w:marLeft w:val="0"/>
      <w:marRight w:val="0"/>
      <w:marTop w:val="0"/>
      <w:marBottom w:val="0"/>
      <w:divBdr>
        <w:top w:val="none" w:sz="0" w:space="0" w:color="auto"/>
        <w:left w:val="none" w:sz="0" w:space="0" w:color="auto"/>
        <w:bottom w:val="none" w:sz="0" w:space="0" w:color="auto"/>
        <w:right w:val="none" w:sz="0" w:space="0" w:color="auto"/>
      </w:divBdr>
      <w:divsChild>
        <w:div w:id="1374228592">
          <w:marLeft w:val="547"/>
          <w:marRight w:val="0"/>
          <w:marTop w:val="115"/>
          <w:marBottom w:val="0"/>
          <w:divBdr>
            <w:top w:val="none" w:sz="0" w:space="0" w:color="auto"/>
            <w:left w:val="none" w:sz="0" w:space="0" w:color="auto"/>
            <w:bottom w:val="none" w:sz="0" w:space="0" w:color="auto"/>
            <w:right w:val="none" w:sz="0" w:space="0" w:color="auto"/>
          </w:divBdr>
        </w:div>
        <w:div w:id="945381169">
          <w:marLeft w:val="1166"/>
          <w:marRight w:val="0"/>
          <w:marTop w:val="96"/>
          <w:marBottom w:val="0"/>
          <w:divBdr>
            <w:top w:val="none" w:sz="0" w:space="0" w:color="auto"/>
            <w:left w:val="none" w:sz="0" w:space="0" w:color="auto"/>
            <w:bottom w:val="none" w:sz="0" w:space="0" w:color="auto"/>
            <w:right w:val="none" w:sz="0" w:space="0" w:color="auto"/>
          </w:divBdr>
        </w:div>
        <w:div w:id="401365928">
          <w:marLeft w:val="1166"/>
          <w:marRight w:val="0"/>
          <w:marTop w:val="96"/>
          <w:marBottom w:val="0"/>
          <w:divBdr>
            <w:top w:val="none" w:sz="0" w:space="0" w:color="auto"/>
            <w:left w:val="none" w:sz="0" w:space="0" w:color="auto"/>
            <w:bottom w:val="none" w:sz="0" w:space="0" w:color="auto"/>
            <w:right w:val="none" w:sz="0" w:space="0" w:color="auto"/>
          </w:divBdr>
        </w:div>
        <w:div w:id="2018144638">
          <w:marLeft w:val="1166"/>
          <w:marRight w:val="0"/>
          <w:marTop w:val="96"/>
          <w:marBottom w:val="0"/>
          <w:divBdr>
            <w:top w:val="none" w:sz="0" w:space="0" w:color="auto"/>
            <w:left w:val="none" w:sz="0" w:space="0" w:color="auto"/>
            <w:bottom w:val="none" w:sz="0" w:space="0" w:color="auto"/>
            <w:right w:val="none" w:sz="0" w:space="0" w:color="auto"/>
          </w:divBdr>
        </w:div>
        <w:div w:id="1630938635">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572B5C-B3E0-4A75-8CFC-CA2AAF8567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16056</TotalTime>
  <Pages>5</Pages>
  <Words>1618</Words>
  <Characters>9224</Characters>
  <Application>Microsoft Office Word</Application>
  <DocSecurity>0</DocSecurity>
  <Lines>76</Lines>
  <Paragraphs>21</Paragraphs>
  <ScaleCrop>false</ScaleCrop>
  <Company/>
  <LinksUpToDate>false</LinksUpToDate>
  <CharactersWithSpaces>10821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dc:creator>
  <cp:keywords/>
  <dc:description/>
  <cp:lastModifiedBy>Xiaomi</cp:lastModifiedBy>
  <cp:revision>225</cp:revision>
  <dcterms:created xsi:type="dcterms:W3CDTF">2021-01-14T12:11:00Z</dcterms:created>
  <dcterms:modified xsi:type="dcterms:W3CDTF">2023-09-27T11:26:00Z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db149f471a8f4e44ab02d72a2f0565de">
    <vt:lpwstr>CWMxOtHur0PH6BRNwOy/hSceG9T8ZJkZDR1NvY4xZcTMunm5LUYX7SJFvYWLTMw9zwldhtklksJyOEcpUc34oZ68g==</vt:lpwstr>
  </property>
</Properties>
</file>